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C" w:rsidRPr="00EE7A2E" w:rsidRDefault="0059623C" w:rsidP="005962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E7A2E">
        <w:rPr>
          <w:rFonts w:ascii="Times New Roman" w:hAnsi="Times New Roman" w:cs="Times New Roman"/>
          <w:sz w:val="28"/>
          <w:szCs w:val="28"/>
        </w:rPr>
        <w:t>Определить фокусное расстояние линзы, погруженной в воду, если ее фокусное расстояние в воздухе равно 40 см. Что произойдет, если воду заменить сероуглеродом с показателем преломления равным 1,63? Показатель преломления стекла — 1,5, воды — 1,33.</w:t>
      </w:r>
    </w:p>
    <w:p w:rsidR="00641B38" w:rsidRDefault="00641B38"/>
    <w:sectPr w:rsidR="00641B38" w:rsidSect="0064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23C"/>
    <w:rsid w:val="0059623C"/>
    <w:rsid w:val="0064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2020-02-20T21:15:00Z</dcterms:created>
  <dcterms:modified xsi:type="dcterms:W3CDTF">2020-02-20T21:15:00Z</dcterms:modified>
</cp:coreProperties>
</file>