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8" w:rsidRDefault="00BC05C8" w:rsidP="00BC05C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0BB">
        <w:rPr>
          <w:rFonts w:ascii="Times New Roman" w:hAnsi="Times New Roman" w:cs="Times New Roman"/>
          <w:bCs w:val="0"/>
          <w:sz w:val="28"/>
          <w:szCs w:val="28"/>
        </w:rPr>
        <w:t xml:space="preserve">Задача </w:t>
      </w:r>
      <w:r w:rsidRPr="00FF00BB">
        <w:rPr>
          <w:rFonts w:ascii="Times New Roman" w:hAnsi="Times New Roman" w:cs="Times New Roman"/>
          <w:sz w:val="28"/>
          <w:szCs w:val="28"/>
        </w:rPr>
        <w:t xml:space="preserve">№3 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Оценка эффективности инвестиций осуществляется по двум методикам:</w:t>
      </w:r>
    </w:p>
    <w:p w:rsidR="00BC05C8" w:rsidRPr="00FF00BB" w:rsidRDefault="00BC05C8" w:rsidP="00BC05C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в условиях стабильности (по методике «Оценка эффективности капитальных вложений»);</w:t>
      </w:r>
    </w:p>
    <w:p w:rsidR="00BC05C8" w:rsidRPr="00FF00BB" w:rsidRDefault="00BC05C8" w:rsidP="00BC05C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в динамических условиях (с учетом постепенного </w:t>
      </w:r>
      <w:proofErr w:type="spellStart"/>
      <w:r w:rsidRPr="00FF00BB">
        <w:rPr>
          <w:sz w:val="28"/>
          <w:szCs w:val="28"/>
        </w:rPr>
        <w:t>задействования</w:t>
      </w:r>
      <w:proofErr w:type="spellEnd"/>
      <w:r w:rsidRPr="00FF00BB">
        <w:rPr>
          <w:sz w:val="28"/>
          <w:szCs w:val="28"/>
        </w:rPr>
        <w:t xml:space="preserve"> производственной мощности объекта – по методике «Оценка эффективности инвестиционных проектов»).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Недостатком  первой методики является то, что прибыль рассчитывается  с учетом полного </w:t>
      </w:r>
      <w:proofErr w:type="spellStart"/>
      <w:r w:rsidRPr="00FF00BB">
        <w:rPr>
          <w:sz w:val="28"/>
          <w:szCs w:val="28"/>
        </w:rPr>
        <w:t>задействования</w:t>
      </w:r>
      <w:proofErr w:type="spellEnd"/>
      <w:r w:rsidRPr="00FF00BB">
        <w:rPr>
          <w:sz w:val="28"/>
          <w:szCs w:val="28"/>
        </w:rPr>
        <w:t xml:space="preserve">  производственной мощности, которое наступит через какой-то неопределенный срок, когда предприятие будет получать  прибыль в полном объеме.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Второй способ имеет преимущества: он более реален, так как учитывает степень </w:t>
      </w:r>
      <w:proofErr w:type="spellStart"/>
      <w:r w:rsidRPr="00FF00BB">
        <w:rPr>
          <w:sz w:val="28"/>
          <w:szCs w:val="28"/>
        </w:rPr>
        <w:t>задействования</w:t>
      </w:r>
      <w:proofErr w:type="spellEnd"/>
      <w:r w:rsidRPr="00FF00BB">
        <w:rPr>
          <w:sz w:val="28"/>
          <w:szCs w:val="28"/>
        </w:rPr>
        <w:t xml:space="preserve"> производственной мощности. Расчеты осуществляются на период от 3 до 10 лет перспективы, т.е. на период времени Т, который называется расчетным периодом. Этот период разбивается на шаги, кратные одному году.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Рассчитываются четыре основных показателя: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1. Чистый дисконтированный доход (</w:t>
      </w:r>
      <w:r w:rsidRPr="00FF00BB">
        <w:rPr>
          <w:i/>
          <w:sz w:val="28"/>
          <w:szCs w:val="28"/>
        </w:rPr>
        <w:t>ЧДД</w:t>
      </w:r>
      <w:r w:rsidRPr="00FF00BB">
        <w:rPr>
          <w:sz w:val="28"/>
          <w:szCs w:val="28"/>
        </w:rPr>
        <w:t>) (формула 3.1)</w:t>
      </w:r>
    </w:p>
    <w:p w:rsidR="00BC05C8" w:rsidRPr="00FF00BB" w:rsidRDefault="00BC05C8" w:rsidP="00BC05C8">
      <w:pPr>
        <w:spacing w:line="360" w:lineRule="auto"/>
        <w:jc w:val="both"/>
        <w:outlineLvl w:val="0"/>
        <w:rPr>
          <w:sz w:val="28"/>
          <w:szCs w:val="28"/>
        </w:rPr>
      </w:pPr>
      <w:r w:rsidRPr="00FF00BB">
        <w:rPr>
          <w:sz w:val="28"/>
          <w:szCs w:val="28"/>
        </w:rPr>
        <w:t xml:space="preserve">                          </w:t>
      </w:r>
      <w:bookmarkStart w:id="0" w:name="_Toc213657659"/>
      <w:r w:rsidRPr="00FF00BB">
        <w:rPr>
          <w:position w:val="-26"/>
          <w:sz w:val="28"/>
          <w:szCs w:val="28"/>
        </w:rPr>
        <w:object w:dxaOrig="3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37.95pt" o:ole="" fillcolor="window">
            <v:imagedata r:id="rId5" o:title=""/>
          </v:shape>
          <o:OLEObject Type="Embed" ProgID="Equation.3" ShapeID="_x0000_i1025" DrawAspect="Content" ObjectID="_1643061424" r:id="rId6"/>
        </w:object>
      </w:r>
      <w:r w:rsidRPr="00FF00BB">
        <w:rPr>
          <w:sz w:val="28"/>
          <w:szCs w:val="28"/>
        </w:rPr>
        <w:t>,               (3.1)</w:t>
      </w:r>
      <w:bookmarkEnd w:id="0"/>
    </w:p>
    <w:p w:rsidR="00BC05C8" w:rsidRPr="00FF00BB" w:rsidRDefault="00BC05C8" w:rsidP="00BC05C8">
      <w:pPr>
        <w:spacing w:line="360" w:lineRule="auto"/>
        <w:jc w:val="both"/>
        <w:outlineLvl w:val="0"/>
        <w:rPr>
          <w:sz w:val="28"/>
          <w:szCs w:val="28"/>
        </w:rPr>
      </w:pPr>
    </w:p>
    <w:p w:rsidR="00BC05C8" w:rsidRPr="00FF00BB" w:rsidRDefault="00BC05C8" w:rsidP="00BC05C8">
      <w:pPr>
        <w:spacing w:line="360" w:lineRule="auto"/>
        <w:jc w:val="both"/>
        <w:outlineLvl w:val="0"/>
        <w:rPr>
          <w:sz w:val="28"/>
          <w:szCs w:val="28"/>
        </w:rPr>
      </w:pPr>
      <w:bookmarkStart w:id="1" w:name="_Toc213657660"/>
      <w:r w:rsidRPr="00FF00BB">
        <w:rPr>
          <w:sz w:val="28"/>
          <w:szCs w:val="28"/>
        </w:rPr>
        <w:t xml:space="preserve">где </w:t>
      </w:r>
      <w:proofErr w:type="spellStart"/>
      <w:r w:rsidRPr="00FF00BB">
        <w:rPr>
          <w:i/>
          <w:sz w:val="28"/>
          <w:szCs w:val="28"/>
          <w:lang w:val="en-GB"/>
        </w:rPr>
        <w:t>R</w:t>
      </w:r>
      <w:r w:rsidRPr="00FF00BB">
        <w:rPr>
          <w:i/>
          <w:sz w:val="28"/>
          <w:szCs w:val="28"/>
          <w:vertAlign w:val="subscript"/>
          <w:lang w:val="en-GB"/>
        </w:rPr>
        <w:t>t</w:t>
      </w:r>
      <w:proofErr w:type="spellEnd"/>
      <w:r w:rsidRPr="00FF00BB">
        <w:rPr>
          <w:sz w:val="28"/>
          <w:szCs w:val="28"/>
        </w:rPr>
        <w:t xml:space="preserve"> – результат (доходы);</w:t>
      </w:r>
      <w:bookmarkEnd w:id="1"/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i/>
          <w:sz w:val="28"/>
          <w:szCs w:val="28"/>
        </w:rPr>
        <w:t xml:space="preserve">      З</w:t>
      </w:r>
      <w:r w:rsidRPr="00FF00BB">
        <w:rPr>
          <w:i/>
          <w:sz w:val="28"/>
          <w:szCs w:val="28"/>
          <w:vertAlign w:val="subscript"/>
          <w:lang w:val="en-US"/>
        </w:rPr>
        <w:t>t</w:t>
      </w:r>
      <w:r w:rsidRPr="00FF00BB">
        <w:rPr>
          <w:sz w:val="28"/>
          <w:szCs w:val="28"/>
        </w:rPr>
        <w:t xml:space="preserve"> – затраты на эксплуатацию;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i/>
          <w:sz w:val="28"/>
          <w:szCs w:val="28"/>
        </w:rPr>
        <w:t xml:space="preserve">      К</w:t>
      </w:r>
      <w:r w:rsidRPr="00FF00BB">
        <w:rPr>
          <w:i/>
          <w:sz w:val="28"/>
          <w:szCs w:val="28"/>
          <w:vertAlign w:val="subscript"/>
          <w:lang w:val="en-US"/>
        </w:rPr>
        <w:t>t</w:t>
      </w:r>
      <w:r w:rsidRPr="00FF00BB">
        <w:rPr>
          <w:sz w:val="28"/>
          <w:szCs w:val="28"/>
        </w:rPr>
        <w:t xml:space="preserve"> – капитальные затраты,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i/>
          <w:sz w:val="28"/>
          <w:szCs w:val="28"/>
        </w:rPr>
        <w:lastRenderedPageBreak/>
        <w:t xml:space="preserve">      Е</w:t>
      </w:r>
      <w:r w:rsidRPr="00FF00BB">
        <w:rPr>
          <w:sz w:val="28"/>
          <w:szCs w:val="28"/>
        </w:rPr>
        <w:t xml:space="preserve"> – норма дисконта, принимается в соответствии с действующим депозитным процентом по вкладам в банке;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position w:val="-30"/>
          <w:sz w:val="28"/>
          <w:szCs w:val="28"/>
        </w:rPr>
        <w:object w:dxaOrig="800" w:dyaOrig="680">
          <v:shape id="_x0000_i1026" type="#_x0000_t75" style="width:39.95pt;height:34.05pt" o:ole="" fillcolor="window">
            <v:imagedata r:id="rId7" o:title=""/>
          </v:shape>
          <o:OLEObject Type="Embed" ProgID="Equation.3" ShapeID="_x0000_i1026" DrawAspect="Content" ObjectID="_1643061425" r:id="rId8"/>
        </w:object>
      </w:r>
      <w:r w:rsidRPr="00FF00BB">
        <w:rPr>
          <w:sz w:val="28"/>
          <w:szCs w:val="28"/>
        </w:rPr>
        <w:t xml:space="preserve"> – коэффициент дисконтирования;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i/>
          <w:sz w:val="28"/>
          <w:szCs w:val="28"/>
        </w:rPr>
        <w:t xml:space="preserve">        Т</w:t>
      </w:r>
      <w:r w:rsidRPr="00FF00BB">
        <w:rPr>
          <w:sz w:val="28"/>
          <w:szCs w:val="28"/>
        </w:rPr>
        <w:t xml:space="preserve"> – расчетный период (горизонт расчета);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i/>
          <w:sz w:val="28"/>
          <w:szCs w:val="28"/>
        </w:rPr>
        <w:t xml:space="preserve">        </w:t>
      </w:r>
      <w:r w:rsidRPr="00FF00BB">
        <w:rPr>
          <w:i/>
          <w:sz w:val="28"/>
          <w:szCs w:val="28"/>
          <w:lang w:val="en-US"/>
        </w:rPr>
        <w:t>t</w:t>
      </w:r>
      <w:r w:rsidRPr="00FF00BB">
        <w:rPr>
          <w:sz w:val="28"/>
          <w:szCs w:val="28"/>
        </w:rPr>
        <w:t xml:space="preserve"> – шаг расчета.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 2. Индекс доходности (</w:t>
      </w:r>
      <w:r w:rsidRPr="00FF00BB">
        <w:rPr>
          <w:i/>
          <w:sz w:val="28"/>
          <w:szCs w:val="28"/>
        </w:rPr>
        <w:t>ИД</w:t>
      </w:r>
      <w:r w:rsidRPr="00FF00BB">
        <w:rPr>
          <w:sz w:val="28"/>
          <w:szCs w:val="28"/>
        </w:rPr>
        <w:t>) (формула 3.2)</w:t>
      </w:r>
    </w:p>
    <w:p w:rsidR="00BC05C8" w:rsidRPr="00FF00BB" w:rsidRDefault="00BC05C8" w:rsidP="00BC05C8">
      <w:pPr>
        <w:spacing w:line="360" w:lineRule="auto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                                </w:t>
      </w:r>
      <w:r w:rsidRPr="00FF00BB">
        <w:rPr>
          <w:position w:val="-62"/>
          <w:sz w:val="28"/>
          <w:szCs w:val="28"/>
          <w:lang w:val="en-US"/>
        </w:rPr>
        <w:object w:dxaOrig="2720" w:dyaOrig="1359">
          <v:shape id="_x0000_i1027" type="#_x0000_t75" style="width:158.4pt;height:65.45pt" o:ole="" fillcolor="window">
            <v:imagedata r:id="rId9" o:title=""/>
          </v:shape>
          <o:OLEObject Type="Embed" ProgID="Equation.3" ShapeID="_x0000_i1027" DrawAspect="Content" ObjectID="_1643061426" r:id="rId10"/>
        </w:object>
      </w:r>
      <w:r w:rsidRPr="00FF00BB">
        <w:rPr>
          <w:sz w:val="28"/>
          <w:szCs w:val="28"/>
        </w:rPr>
        <w:t xml:space="preserve">                      (3.2)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3. Внутренняя норма доходности ВНД, представляет ту норму дисконта, при которой величина эффекта за период Т равнялась бы капитальным затратам (формула 3.3)</w:t>
      </w:r>
    </w:p>
    <w:p w:rsidR="00BC05C8" w:rsidRPr="00FF00BB" w:rsidRDefault="00BC05C8" w:rsidP="00BC05C8">
      <w:pPr>
        <w:spacing w:line="360" w:lineRule="auto"/>
        <w:jc w:val="center"/>
        <w:rPr>
          <w:sz w:val="28"/>
          <w:szCs w:val="28"/>
        </w:rPr>
      </w:pPr>
      <w:r w:rsidRPr="00FF00BB">
        <w:rPr>
          <w:position w:val="-26"/>
          <w:sz w:val="28"/>
          <w:szCs w:val="28"/>
        </w:rPr>
        <w:object w:dxaOrig="3180" w:dyaOrig="600">
          <v:shape id="_x0000_i1028" type="#_x0000_t75" style="width:212.05pt;height:39.95pt" o:ole="" fillcolor="window">
            <v:imagedata r:id="rId11" o:title=""/>
          </v:shape>
          <o:OLEObject Type="Embed" ProgID="Equation.3" ShapeID="_x0000_i1028" DrawAspect="Content" ObjectID="_1643061427" r:id="rId12"/>
        </w:object>
      </w:r>
      <w:r w:rsidRPr="00FF00BB">
        <w:rPr>
          <w:sz w:val="28"/>
          <w:szCs w:val="28"/>
        </w:rPr>
        <w:t>,                (3.3)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где Е – внутренняя норма доходности.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4. Срок окупаемости капитальных затрат рассчитывается по расчетным таблицам для года, когда достигнуто положительное сальдо.</w:t>
      </w:r>
    </w:p>
    <w:p w:rsidR="00BC05C8" w:rsidRPr="00FF00BB" w:rsidRDefault="00BC05C8" w:rsidP="00BC05C8">
      <w:pPr>
        <w:spacing w:line="360" w:lineRule="auto"/>
        <w:ind w:firstLine="720"/>
        <w:jc w:val="both"/>
        <w:rPr>
          <w:sz w:val="28"/>
          <w:szCs w:val="28"/>
        </w:rPr>
      </w:pPr>
      <w:r w:rsidRPr="00FF00BB">
        <w:rPr>
          <w:sz w:val="28"/>
          <w:szCs w:val="28"/>
        </w:rPr>
        <w:t>Для определения внутренней нормы доходности графическим способом необходимо рассчитать чистый дисконтированный доход при двух значениях нормы дисконта Е=18% и Е=35%.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Амортизационные отчисления на полное восстановление (АО) определяются исходя из сметной стоимости основных производственных </w:t>
      </w:r>
      <w:r w:rsidRPr="00FF00BB">
        <w:rPr>
          <w:sz w:val="28"/>
          <w:szCs w:val="28"/>
        </w:rPr>
        <w:lastRenderedPageBreak/>
        <w:t>фондов (кабельных линий связи, аппаратуры систем передачи, ЭПУ, зданий) и норм амортизации на полное восстановление по формуле:</w:t>
      </w:r>
    </w:p>
    <w:p w:rsidR="00BC05C8" w:rsidRPr="00FF00BB" w:rsidRDefault="00BC05C8" w:rsidP="00BC05C8">
      <w:pPr>
        <w:spacing w:line="360" w:lineRule="auto"/>
        <w:jc w:val="center"/>
        <w:rPr>
          <w:sz w:val="28"/>
          <w:szCs w:val="28"/>
        </w:rPr>
      </w:pPr>
      <w:r w:rsidRPr="00FF00BB">
        <w:rPr>
          <w:position w:val="-26"/>
          <w:sz w:val="28"/>
          <w:szCs w:val="28"/>
        </w:rPr>
        <w:object w:dxaOrig="1420" w:dyaOrig="499">
          <v:shape id="_x0000_i1029" type="#_x0000_t75" style="width:93.6pt;height:32.75pt" o:ole="">
            <v:imagedata r:id="rId13" o:title=""/>
          </v:shape>
          <o:OLEObject Type="Embed" ProgID="Equation.3" ShapeID="_x0000_i1029" DrawAspect="Content" ObjectID="_1643061428" r:id="rId14"/>
        </w:object>
      </w:r>
      <w:r w:rsidRPr="00FF00BB">
        <w:rPr>
          <w:sz w:val="28"/>
          <w:szCs w:val="28"/>
        </w:rPr>
        <w:t>,                                   (3.4)</w:t>
      </w: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t xml:space="preserve">где </w:t>
      </w:r>
      <w:proofErr w:type="spellStart"/>
      <w:r w:rsidRPr="00FF00BB">
        <w:rPr>
          <w:sz w:val="28"/>
          <w:szCs w:val="28"/>
        </w:rPr>
        <w:t>Ф</w:t>
      </w:r>
      <w:r w:rsidRPr="00FF00BB">
        <w:rPr>
          <w:sz w:val="28"/>
          <w:szCs w:val="28"/>
          <w:vertAlign w:val="subscript"/>
        </w:rPr>
        <w:t>осн.i</w:t>
      </w:r>
      <w:proofErr w:type="spellEnd"/>
      <w:r w:rsidRPr="00FF00BB">
        <w:rPr>
          <w:sz w:val="28"/>
          <w:szCs w:val="28"/>
        </w:rPr>
        <w:t xml:space="preserve"> – стоимость основных производственных фондов i-го вида, тыс. руб.;</w:t>
      </w:r>
    </w:p>
    <w:p w:rsidR="00BC05C8" w:rsidRPr="00FF00BB" w:rsidRDefault="00BC05C8" w:rsidP="00BC05C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F00BB">
        <w:rPr>
          <w:sz w:val="28"/>
          <w:szCs w:val="28"/>
        </w:rPr>
        <w:t>n</w:t>
      </w:r>
      <w:r w:rsidRPr="00FF00BB">
        <w:rPr>
          <w:sz w:val="28"/>
          <w:szCs w:val="28"/>
          <w:vertAlign w:val="subscript"/>
        </w:rPr>
        <w:t>i</w:t>
      </w:r>
      <w:proofErr w:type="spellEnd"/>
      <w:r w:rsidRPr="00FF00BB">
        <w:rPr>
          <w:sz w:val="28"/>
          <w:szCs w:val="28"/>
        </w:rPr>
        <w:t xml:space="preserve"> – действующие нормы амортизации на полное восстановление соответствующего вида ОПФ, %.</w:t>
      </w:r>
    </w:p>
    <w:p w:rsidR="00BC05C8" w:rsidRPr="00FF00BB" w:rsidRDefault="00BC05C8" w:rsidP="00BC05C8">
      <w:pPr>
        <w:shd w:val="clear" w:color="auto" w:fill="FFFFFF"/>
        <w:spacing w:line="360" w:lineRule="auto"/>
        <w:ind w:firstLine="567"/>
        <w:jc w:val="both"/>
        <w:sectPr w:rsidR="00BC05C8" w:rsidRPr="00FF00BB" w:rsidSect="005B2D2D">
          <w:headerReference w:type="even" r:id="rId15"/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F00BB">
        <w:rPr>
          <w:sz w:val="28"/>
          <w:szCs w:val="28"/>
        </w:rPr>
        <w:t>Нормы амортизации определяются в соответствии с постановлением  правительства РФ №1 от 1.01.2002 «О классификации основных средств, включаемых в амортизационные группы». В контрольной работе норма амортизации равна 7%. Расчеты сводятся в таблицы 5-6.</w:t>
      </w:r>
      <w:r w:rsidRPr="00FF00BB">
        <w:t xml:space="preserve">  </w:t>
      </w:r>
    </w:p>
    <w:p w:rsidR="00BC05C8" w:rsidRDefault="00BC05C8" w:rsidP="00BC05C8">
      <w:pPr>
        <w:ind w:firstLine="567"/>
        <w:jc w:val="both"/>
        <w:rPr>
          <w:color w:val="000000"/>
          <w:sz w:val="28"/>
          <w:szCs w:val="28"/>
        </w:rPr>
      </w:pPr>
      <w:r w:rsidRPr="005A4BCC">
        <w:rPr>
          <w:color w:val="000000"/>
          <w:sz w:val="28"/>
          <w:szCs w:val="28"/>
        </w:rPr>
        <w:lastRenderedPageBreak/>
        <w:t xml:space="preserve">Таблица 5 – Расчет чистого дисконтированного дохода при Е=18% (Амортизационные отчисления = </w:t>
      </w:r>
      <w:r>
        <w:rPr>
          <w:color w:val="000000"/>
          <w:sz w:val="28"/>
          <w:szCs w:val="28"/>
        </w:rPr>
        <w:t>7</w:t>
      </w:r>
      <w:r w:rsidRPr="005A4BCC">
        <w:rPr>
          <w:color w:val="000000"/>
          <w:sz w:val="28"/>
          <w:szCs w:val="28"/>
        </w:rPr>
        <w:t>% от капитальных</w:t>
      </w:r>
      <w:r>
        <w:rPr>
          <w:color w:val="000000"/>
          <w:sz w:val="28"/>
          <w:szCs w:val="28"/>
        </w:rPr>
        <w:t xml:space="preserve"> </w:t>
      </w:r>
      <w:r w:rsidRPr="005A4BCC">
        <w:rPr>
          <w:color w:val="000000"/>
          <w:sz w:val="28"/>
          <w:szCs w:val="28"/>
        </w:rPr>
        <w:t xml:space="preserve"> затрат,</w:t>
      </w:r>
      <w:r>
        <w:rPr>
          <w:color w:val="000000"/>
          <w:sz w:val="28"/>
          <w:szCs w:val="28"/>
        </w:rPr>
        <w:t xml:space="preserve"> ставка налога на прибыль =20%)</w:t>
      </w:r>
    </w:p>
    <w:tbl>
      <w:tblPr>
        <w:tblW w:w="15840" w:type="dxa"/>
        <w:tblInd w:w="-624" w:type="dxa"/>
        <w:tblLayout w:type="fixed"/>
        <w:tblLook w:val="04A0"/>
      </w:tblPr>
      <w:tblGrid>
        <w:gridCol w:w="930"/>
        <w:gridCol w:w="936"/>
        <w:gridCol w:w="945"/>
        <w:gridCol w:w="966"/>
        <w:gridCol w:w="945"/>
        <w:gridCol w:w="966"/>
        <w:gridCol w:w="954"/>
        <w:gridCol w:w="954"/>
        <w:gridCol w:w="939"/>
        <w:gridCol w:w="966"/>
        <w:gridCol w:w="966"/>
        <w:gridCol w:w="945"/>
        <w:gridCol w:w="1072"/>
        <w:gridCol w:w="1260"/>
        <w:gridCol w:w="954"/>
        <w:gridCol w:w="1142"/>
      </w:tblGrid>
      <w:tr w:rsidR="00BC05C8" w:rsidRPr="00CD3ABF" w:rsidTr="00BC05C8">
        <w:trPr>
          <w:trHeight w:val="32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 xml:space="preserve">Год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Коэффициент вводимой мощности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Капитальные вложения, тыс.руб.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Доходы участка, тыс.руб.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Эксплуатационные расходы, тыс.руб.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Прибыль до налогообложения, тыс.руб.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Налог на прибыль, тыс.руб.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Прибыль чистая, тыс.руб.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Амортизационные отчисления, тыс.руб.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Денежный поток, тыс.руб.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Коэффициент дисконтирования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Дисконтированные капитальные вложения, тыс.руб.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Дисконтированный денежный поток,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То же, нарастающим итогом, тыс.руб.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Чистый дисконтированный доход, 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Индекс доходности</w:t>
            </w: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-36300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ABF">
              <w:rPr>
                <w:b/>
                <w:bCs/>
                <w:color w:val="000000"/>
                <w:sz w:val="20"/>
                <w:szCs w:val="20"/>
              </w:rPr>
              <w:t>-9182,18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ABF">
              <w:rPr>
                <w:b/>
                <w:bCs/>
                <w:color w:val="000000"/>
                <w:sz w:val="20"/>
                <w:szCs w:val="20"/>
                <w:highlight w:val="yellow"/>
              </w:rPr>
              <w:t>0,61</w:t>
            </w: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13381,2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4709,2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941,84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3767,36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6308,36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0,847458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5346,06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-30953,9322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18399,15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11924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6475,15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1295,03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5180,12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7721,12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0,718184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5545,18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-25408,744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23417,1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15176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8241,1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1648,22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6592,88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9133,88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0,608631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5559,16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-19849,5827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28435,05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18428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10007,05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2001,41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8005,64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10546,64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0,515789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5439,83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-14409,7431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33453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11773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2354,6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9418,4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11959,4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0,437109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5227,56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-9182,17914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05C8" w:rsidRPr="00FF00BB" w:rsidRDefault="00BC05C8" w:rsidP="00BC05C8">
      <w:pPr>
        <w:jc w:val="both"/>
        <w:rPr>
          <w:color w:val="FF0000"/>
        </w:rPr>
      </w:pPr>
      <w:r w:rsidRPr="00FF00BB">
        <w:rPr>
          <w:color w:val="FF0000"/>
        </w:rPr>
        <w:br w:type="page"/>
      </w:r>
    </w:p>
    <w:p w:rsidR="00BC05C8" w:rsidRDefault="00BC05C8" w:rsidP="00BC05C8">
      <w:pPr>
        <w:ind w:firstLine="567"/>
        <w:jc w:val="both"/>
        <w:rPr>
          <w:color w:val="000000"/>
          <w:sz w:val="28"/>
          <w:szCs w:val="28"/>
        </w:rPr>
      </w:pPr>
      <w:r w:rsidRPr="005A4BCC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6</w:t>
      </w:r>
      <w:r w:rsidRPr="005A4BCC">
        <w:rPr>
          <w:color w:val="000000"/>
          <w:sz w:val="28"/>
          <w:szCs w:val="28"/>
        </w:rPr>
        <w:t xml:space="preserve"> – Расчет чистого дисконтированного дохода при Е=</w:t>
      </w:r>
      <w:r>
        <w:rPr>
          <w:color w:val="000000"/>
          <w:sz w:val="28"/>
          <w:szCs w:val="28"/>
        </w:rPr>
        <w:t>35</w:t>
      </w:r>
      <w:r w:rsidRPr="005A4BCC">
        <w:rPr>
          <w:color w:val="000000"/>
          <w:sz w:val="28"/>
          <w:szCs w:val="28"/>
        </w:rPr>
        <w:t xml:space="preserve">% (Амортизационные отчисления = </w:t>
      </w:r>
      <w:r>
        <w:rPr>
          <w:color w:val="000000"/>
          <w:sz w:val="28"/>
          <w:szCs w:val="28"/>
        </w:rPr>
        <w:t>7</w:t>
      </w:r>
      <w:r w:rsidRPr="005A4BCC">
        <w:rPr>
          <w:color w:val="000000"/>
          <w:sz w:val="28"/>
          <w:szCs w:val="28"/>
        </w:rPr>
        <w:t>% от капитальных</w:t>
      </w:r>
      <w:r>
        <w:rPr>
          <w:color w:val="000000"/>
          <w:sz w:val="28"/>
          <w:szCs w:val="28"/>
        </w:rPr>
        <w:t xml:space="preserve"> </w:t>
      </w:r>
      <w:r w:rsidRPr="005A4BCC">
        <w:rPr>
          <w:color w:val="000000"/>
          <w:sz w:val="28"/>
          <w:szCs w:val="28"/>
        </w:rPr>
        <w:t xml:space="preserve"> затрат,</w:t>
      </w:r>
      <w:r>
        <w:rPr>
          <w:color w:val="000000"/>
          <w:sz w:val="28"/>
          <w:szCs w:val="28"/>
        </w:rPr>
        <w:t xml:space="preserve"> ставка налога на прибыль =20%)</w:t>
      </w:r>
    </w:p>
    <w:p w:rsidR="00BC05C8" w:rsidRPr="00245A93" w:rsidRDefault="00BC05C8" w:rsidP="00BC05C8">
      <w:pPr>
        <w:jc w:val="both"/>
        <w:rPr>
          <w:color w:val="FF0000"/>
        </w:rPr>
      </w:pPr>
    </w:p>
    <w:p w:rsidR="00BC05C8" w:rsidRDefault="00BC05C8" w:rsidP="00BC05C8"/>
    <w:tbl>
      <w:tblPr>
        <w:tblW w:w="15648" w:type="dxa"/>
        <w:tblInd w:w="-601" w:type="dxa"/>
        <w:tblLook w:val="04A0"/>
      </w:tblPr>
      <w:tblGrid>
        <w:gridCol w:w="739"/>
        <w:gridCol w:w="931"/>
        <w:gridCol w:w="931"/>
        <w:gridCol w:w="976"/>
        <w:gridCol w:w="931"/>
        <w:gridCol w:w="976"/>
        <w:gridCol w:w="949"/>
        <w:gridCol w:w="949"/>
        <w:gridCol w:w="931"/>
        <w:gridCol w:w="976"/>
        <w:gridCol w:w="1077"/>
        <w:gridCol w:w="931"/>
        <w:gridCol w:w="1179"/>
        <w:gridCol w:w="1101"/>
        <w:gridCol w:w="949"/>
        <w:gridCol w:w="1122"/>
      </w:tblGrid>
      <w:tr w:rsidR="00BC05C8" w:rsidRPr="00CD3ABF" w:rsidTr="00BC05C8">
        <w:trPr>
          <w:trHeight w:val="322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 xml:space="preserve">Год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Коэффициент вводимой мощности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Капитальные вложения, тыс.руб.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Доходы участка, 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Эксплуатационные расходы, тыс.руб.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Прибыль до налогообложения, тыс.руб.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Налог на прибыль, тыс.руб.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Прибыль чистая, 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Амортизационные отчисления, тыс.руб.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Денежный поток, тыс.руб.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Коэффициент дисконтирования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Дисконтированные капитальные вложения, тыс.руб.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Дисконтированный денежный поток, тыс.руб.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То же, нарастающим итогом, тыс.руб.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Чистый дисконтированный доход, 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</w:rPr>
            </w:pPr>
            <w:r w:rsidRPr="00CD3ABF">
              <w:rPr>
                <w:color w:val="000000"/>
              </w:rPr>
              <w:t>Индекс доходности</w:t>
            </w: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36300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-36300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ABF">
              <w:rPr>
                <w:b/>
                <w:bCs/>
                <w:color w:val="000000"/>
                <w:sz w:val="20"/>
                <w:szCs w:val="20"/>
              </w:rPr>
              <w:t>-17835,8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D3ABF">
              <w:rPr>
                <w:b/>
                <w:bCs/>
                <w:color w:val="000000"/>
                <w:sz w:val="20"/>
                <w:szCs w:val="20"/>
                <w:highlight w:val="yellow"/>
              </w:rPr>
              <w:t>0,61</w:t>
            </w: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13381,2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8672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4709,2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941,84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3767,36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6308,36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0,7407407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4672,85926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-31627,14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18399,15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11924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6475,15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1295,03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5180,12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7721,12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0,5486968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4236,55418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-27390,58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23417,1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15176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8241,1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1648,22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6592,88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9133,88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0,4064421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3712,39344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-23678,19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28435,05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18428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10007,05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2001,41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8005,64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10546,64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0,3010682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3175,25821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-20502,93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5C8" w:rsidRPr="00CD3ABF" w:rsidTr="00BC05C8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33453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11773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2354,6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9418,4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11959,4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0,2230135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5C8" w:rsidRPr="00CD3ABF" w:rsidRDefault="00BC05C8" w:rsidP="00306623">
            <w:pPr>
              <w:jc w:val="center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2667,10768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5C8" w:rsidRPr="00CD3ABF" w:rsidRDefault="00BC05C8" w:rsidP="00306623">
            <w:pPr>
              <w:jc w:val="right"/>
              <w:rPr>
                <w:color w:val="000000"/>
                <w:sz w:val="20"/>
                <w:szCs w:val="20"/>
              </w:rPr>
            </w:pPr>
            <w:r w:rsidRPr="00CD3ABF">
              <w:rPr>
                <w:color w:val="000000"/>
                <w:sz w:val="20"/>
                <w:szCs w:val="20"/>
              </w:rPr>
              <w:t>-17835,82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5C8" w:rsidRPr="00CD3ABF" w:rsidRDefault="00BC05C8" w:rsidP="003066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05C8" w:rsidRPr="00245A93" w:rsidRDefault="00BC05C8" w:rsidP="00BC05C8">
      <w:pPr>
        <w:sectPr w:rsidR="00BC05C8" w:rsidRPr="00245A93" w:rsidSect="00C82F2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C05C8" w:rsidRPr="00FF00BB" w:rsidRDefault="00BC05C8" w:rsidP="00BC05C8">
      <w:pPr>
        <w:spacing w:line="360" w:lineRule="auto"/>
        <w:ind w:firstLine="567"/>
        <w:jc w:val="both"/>
        <w:rPr>
          <w:sz w:val="28"/>
          <w:szCs w:val="28"/>
        </w:rPr>
      </w:pPr>
      <w:r w:rsidRPr="00FF00BB">
        <w:rPr>
          <w:sz w:val="28"/>
          <w:szCs w:val="28"/>
        </w:rPr>
        <w:lastRenderedPageBreak/>
        <w:t xml:space="preserve">После расчета таблиц строится график определения внутренней нормы доходности ВНД. По оси Х откладываются значения нормы дисконта Е, по оси </w:t>
      </w:r>
      <w:r w:rsidRPr="00FF00BB">
        <w:rPr>
          <w:sz w:val="28"/>
          <w:szCs w:val="28"/>
          <w:lang w:val="en-US"/>
        </w:rPr>
        <w:t>Y</w:t>
      </w:r>
      <w:r w:rsidRPr="00FF00BB">
        <w:rPr>
          <w:sz w:val="28"/>
          <w:szCs w:val="28"/>
        </w:rPr>
        <w:t xml:space="preserve"> – значения ЧДД за весь период проекта в зависимости от нормы дисконта. Затем через две полученные точки проводится прямая до пересечения с осью Х. Точка пересечения и даст значение ВНД.</w:t>
      </w:r>
    </w:p>
    <w:p w:rsidR="00BC05C8" w:rsidRPr="00FF00BB" w:rsidRDefault="00BC05C8" w:rsidP="00BC05C8">
      <w:pPr>
        <w:spacing w:line="360" w:lineRule="auto"/>
        <w:rPr>
          <w:sz w:val="28"/>
          <w:szCs w:val="28"/>
        </w:rPr>
      </w:pPr>
    </w:p>
    <w:p w:rsidR="00BC05C8" w:rsidRPr="00FF00BB" w:rsidRDefault="00BC05C8" w:rsidP="00BC05C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FF00BB">
        <w:rPr>
          <w:sz w:val="28"/>
          <w:szCs w:val="28"/>
        </w:rPr>
        <w:t xml:space="preserve">ВНД = </w:t>
      </w:r>
    </w:p>
    <w:p w:rsidR="00BC05C8" w:rsidRDefault="00BC05C8" w:rsidP="00BC05C8">
      <w:pPr>
        <w:rPr>
          <w:b/>
          <w:bCs/>
          <w:i/>
          <w:iCs/>
          <w:sz w:val="28"/>
          <w:szCs w:val="28"/>
        </w:rPr>
      </w:pPr>
      <w:bookmarkStart w:id="2" w:name="вывод"/>
      <w:r>
        <w:rPr>
          <w:b/>
          <w:bCs/>
          <w:i/>
          <w:iCs/>
          <w:sz w:val="28"/>
          <w:szCs w:val="28"/>
        </w:rPr>
        <w:br w:type="page"/>
      </w:r>
    </w:p>
    <w:p w:rsidR="00BC05C8" w:rsidRPr="00FF00BB" w:rsidRDefault="00BC05C8" w:rsidP="00BC05C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F00BB">
        <w:rPr>
          <w:b/>
          <w:bCs/>
          <w:i/>
          <w:iCs/>
          <w:sz w:val="28"/>
          <w:szCs w:val="28"/>
        </w:rPr>
        <w:lastRenderedPageBreak/>
        <w:t>Вывод:</w:t>
      </w:r>
      <w:r w:rsidRPr="00FF00BB">
        <w:rPr>
          <w:b/>
          <w:bCs/>
          <w:iCs/>
          <w:sz w:val="28"/>
          <w:szCs w:val="28"/>
        </w:rPr>
        <w:t xml:space="preserve"> </w:t>
      </w:r>
      <w:bookmarkEnd w:id="2"/>
    </w:p>
    <w:p w:rsidR="00A85637" w:rsidRDefault="00BC05C8" w:rsidP="00BC05C8">
      <w:r>
        <w:rPr>
          <w:rFonts w:ascii="Times New Roman" w:hAnsi="Times New Roman" w:cs="Times New Roman"/>
        </w:rPr>
        <w:br w:type="page"/>
      </w:r>
    </w:p>
    <w:sectPr w:rsidR="00A8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3" w:rsidRDefault="00A856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5C8">
      <w:rPr>
        <w:noProof/>
      </w:rPr>
      <w:t>6</w:t>
    </w:r>
    <w:r>
      <w:fldChar w:fldCharType="end"/>
    </w:r>
  </w:p>
  <w:p w:rsidR="00245A93" w:rsidRDefault="00A8563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3" w:rsidRDefault="00A85637" w:rsidP="004710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A93" w:rsidRDefault="00A85637" w:rsidP="004710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3" w:rsidRDefault="00A85637" w:rsidP="004710A6">
    <w:pPr>
      <w:pStyle w:val="a3"/>
      <w:framePr w:wrap="around" w:vAnchor="text" w:hAnchor="margin" w:xAlign="right" w:y="1"/>
      <w:rPr>
        <w:rStyle w:val="a5"/>
      </w:rPr>
    </w:pPr>
  </w:p>
  <w:p w:rsidR="00245A93" w:rsidRDefault="00A85637" w:rsidP="004710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5E5F"/>
    <w:multiLevelType w:val="hybridMultilevel"/>
    <w:tmpl w:val="7D243A6C"/>
    <w:lvl w:ilvl="0" w:tplc="A67ED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C05C8"/>
    <w:rsid w:val="00A85637"/>
    <w:rsid w:val="00B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5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BC0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05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C05C8"/>
  </w:style>
  <w:style w:type="paragraph" w:styleId="a6">
    <w:name w:val="footer"/>
    <w:basedOn w:val="a"/>
    <w:link w:val="a7"/>
    <w:uiPriority w:val="99"/>
    <w:unhideWhenUsed/>
    <w:rsid w:val="00BC05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05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809</Words>
  <Characters>4612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2020-02-12T18:08:00Z</dcterms:created>
  <dcterms:modified xsi:type="dcterms:W3CDTF">2020-02-12T18:09:00Z</dcterms:modified>
</cp:coreProperties>
</file>