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75" w:rsidRPr="006C5175" w:rsidRDefault="006C5175" w:rsidP="006C5175">
      <w:pPr>
        <w:shd w:val="clear" w:color="auto" w:fill="FFFFFF"/>
        <w:spacing w:after="0" w:line="240" w:lineRule="auto"/>
        <w:jc w:val="center"/>
        <w:outlineLvl w:val="1"/>
        <w:rPr>
          <w:rFonts w:eastAsia="Times New Roman"/>
          <w:b/>
          <w:bCs/>
          <w:color w:val="3333FF"/>
          <w:lang w:eastAsia="ru-RU"/>
        </w:rPr>
      </w:pPr>
      <w:r w:rsidRPr="006C5175">
        <w:rPr>
          <w:rFonts w:eastAsia="Times New Roman"/>
          <w:b/>
          <w:bCs/>
          <w:color w:val="3333FF"/>
          <w:lang w:eastAsia="ru-RU"/>
        </w:rPr>
        <w:t>4. Задание</w:t>
      </w:r>
    </w:p>
    <w:p w:rsidR="006C5175" w:rsidRPr="006C5175" w:rsidRDefault="006C5175" w:rsidP="006C5175">
      <w:pPr>
        <w:shd w:val="clear" w:color="auto" w:fill="FFFFFF"/>
        <w:spacing w:after="30" w:line="240" w:lineRule="auto"/>
        <w:ind w:left="150" w:right="150" w:firstLine="567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Из 6-ти вариантов альтернативных решений каждое из которых оценивается 5-ю </w:t>
      </w:r>
      <w:proofErr w:type="spellStart"/>
      <w:r w:rsidRPr="006C5175">
        <w:rPr>
          <w:rFonts w:eastAsia="Times New Roman"/>
          <w:color w:val="000000"/>
          <w:sz w:val="27"/>
          <w:szCs w:val="27"/>
          <w:lang w:eastAsia="ru-RU"/>
        </w:rPr>
        <w:t>критериальными</w:t>
      </w:r>
      <w:proofErr w:type="spellEnd"/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 показателями необходимо выбрать лучший вариант.</w:t>
      </w:r>
    </w:p>
    <w:p w:rsidR="006C5175" w:rsidRPr="006C5175" w:rsidRDefault="006C5175" w:rsidP="006C5175">
      <w:pPr>
        <w:shd w:val="clear" w:color="auto" w:fill="FFFFFF"/>
        <w:spacing w:after="30" w:line="240" w:lineRule="auto"/>
        <w:ind w:left="150" w:right="150" w:firstLine="567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Оценку </w:t>
      </w:r>
      <w:proofErr w:type="gramStart"/>
      <w:r w:rsidRPr="006C5175">
        <w:rPr>
          <w:rFonts w:eastAsia="Times New Roman"/>
          <w:color w:val="000000"/>
          <w:sz w:val="27"/>
          <w:szCs w:val="27"/>
          <w:lang w:eastAsia="ru-RU"/>
        </w:rPr>
        <w:t>выполнить</w:t>
      </w:r>
      <w:proofErr w:type="gramEnd"/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 используя 2 подхода:</w:t>
      </w:r>
    </w:p>
    <w:p w:rsidR="006C5175" w:rsidRPr="006C5175" w:rsidRDefault="006C5175" w:rsidP="006C5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при отсутствии статистических данных по значению рассматриваемых показателей;</w:t>
      </w:r>
    </w:p>
    <w:p w:rsidR="006C5175" w:rsidRPr="006C5175" w:rsidRDefault="006C5175" w:rsidP="006C517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при их наличии.</w:t>
      </w:r>
    </w:p>
    <w:p w:rsidR="006C5175" w:rsidRPr="006C5175" w:rsidRDefault="006C5175" w:rsidP="006C5175">
      <w:pPr>
        <w:shd w:val="clear" w:color="auto" w:fill="FFFFFF"/>
        <w:spacing w:after="30" w:line="240" w:lineRule="auto"/>
        <w:ind w:left="150" w:right="150" w:firstLine="567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Пределы изменения показателей установлены по следующим количествам наблюдений (</w:t>
      </w: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N</w:t>
      </w:r>
      <w:r w:rsidRPr="006C5175">
        <w:rPr>
          <w:rFonts w:eastAsia="Times New Roman"/>
          <w:color w:val="000000"/>
          <w:sz w:val="27"/>
          <w:szCs w:val="27"/>
          <w:lang w:eastAsia="ru-RU"/>
        </w:rPr>
        <w:t>):</w:t>
      </w:r>
    </w:p>
    <w:p w:rsidR="006C5175" w:rsidRPr="006C5175" w:rsidRDefault="006C5175" w:rsidP="006C5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для четных вариантов </w:t>
      </w: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N</w:t>
      </w:r>
      <w:r w:rsidRPr="006C5175">
        <w:rPr>
          <w:rFonts w:eastAsia="Times New Roman"/>
          <w:color w:val="000000"/>
          <w:sz w:val="27"/>
          <w:szCs w:val="27"/>
          <w:lang w:eastAsia="ru-RU"/>
        </w:rPr>
        <w:t> = 8;</w:t>
      </w:r>
    </w:p>
    <w:p w:rsidR="006C5175" w:rsidRPr="006C5175" w:rsidRDefault="006C5175" w:rsidP="006C5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для нечетных вариантов кратных трем </w:t>
      </w: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N</w:t>
      </w:r>
      <w:r w:rsidRPr="006C5175">
        <w:rPr>
          <w:rFonts w:eastAsia="Times New Roman"/>
          <w:color w:val="000000"/>
          <w:sz w:val="27"/>
          <w:szCs w:val="27"/>
          <w:lang w:eastAsia="ru-RU"/>
        </w:rPr>
        <w:t> = 13;</w:t>
      </w:r>
    </w:p>
    <w:p w:rsidR="006C5175" w:rsidRPr="006C5175" w:rsidRDefault="006C5175" w:rsidP="006C517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> для нечетных вариантов не кратных трем </w:t>
      </w: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N</w:t>
      </w:r>
      <w:r w:rsidRPr="006C5175">
        <w:rPr>
          <w:rFonts w:eastAsia="Times New Roman"/>
          <w:color w:val="000000"/>
          <w:sz w:val="27"/>
          <w:szCs w:val="27"/>
          <w:lang w:eastAsia="ru-RU"/>
        </w:rPr>
        <w:t> = 18;</w:t>
      </w:r>
    </w:p>
    <w:p w:rsidR="006C5175" w:rsidRPr="006C5175" w:rsidRDefault="006C5175" w:rsidP="006C5175">
      <w:pPr>
        <w:shd w:val="clear" w:color="auto" w:fill="FFFFFF"/>
        <w:spacing w:after="30" w:line="240" w:lineRule="auto"/>
        <w:ind w:left="150" w:right="150" w:firstLine="567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Оценку значимости выполнить на основе </w:t>
      </w:r>
      <w:proofErr w:type="gramStart"/>
      <w:r w:rsidRPr="006C5175">
        <w:rPr>
          <w:rFonts w:eastAsia="Times New Roman"/>
          <w:color w:val="000000"/>
          <w:sz w:val="27"/>
          <w:szCs w:val="27"/>
          <w:lang w:eastAsia="ru-RU"/>
        </w:rPr>
        <w:t>по парной оценки</w:t>
      </w:r>
      <w:proofErr w:type="gramEnd"/>
      <w:r w:rsidRPr="006C5175">
        <w:rPr>
          <w:rFonts w:eastAsia="Times New Roman"/>
          <w:color w:val="000000"/>
          <w:sz w:val="27"/>
          <w:szCs w:val="27"/>
          <w:lang w:eastAsia="ru-RU"/>
        </w:rPr>
        <w:t xml:space="preserve"> по мнению исполнителя.</w:t>
      </w:r>
    </w:p>
    <w:p w:rsidR="006C5175" w:rsidRPr="006C5175" w:rsidRDefault="006C5175" w:rsidP="006C5175">
      <w:pPr>
        <w:shd w:val="clear" w:color="auto" w:fill="FFFFFF"/>
        <w:spacing w:after="30" w:line="240" w:lineRule="auto"/>
        <w:ind w:left="150" w:right="150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Таблица 4.1</w:t>
      </w:r>
      <w:r w:rsidRPr="006C5175">
        <w:rPr>
          <w:rFonts w:eastAsia="Times New Roman"/>
          <w:color w:val="000000"/>
          <w:sz w:val="27"/>
          <w:szCs w:val="27"/>
          <w:lang w:eastAsia="ru-RU"/>
        </w:rPr>
        <w:t> - </w:t>
      </w: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Варианты заданий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629"/>
        <w:gridCol w:w="1629"/>
        <w:gridCol w:w="1523"/>
        <w:gridCol w:w="1523"/>
        <w:gridCol w:w="1629"/>
      </w:tblGrid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1,2,3,4,5,6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2,4,8,9,11,15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1,3,5,7,9,10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4,6,8,12,13,14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1,5,10,11,12,15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6,7,10,11,14,15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3,4,5,8,9,10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7,8,9,10,13,15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1,2,3,13,14,15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2,4,5,7,12,13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1,7,8,9,10,11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6,9,12,13,14,15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2,5,7,9,10,11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7,8,9,10,11,12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1,2,3,4,8,9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19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1,2,3,10,12,13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2,5,7,8,10,15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1,6,7,12,13,14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3,4,5,6,10,14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2,8,11,12,14,15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1,2,6,7,9,10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3,5,8,9,13,14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4,7,8,10,11,12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5,6,7,8,11,13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8,9,10,11,12,13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№ задания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26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27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28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29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30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lastRenderedPageBreak/>
              <w:t>№№ альтернатив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1,3,4,10,11,15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2,3,5,8,9,15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1,4,7,11,13,15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2,6,7,8,12,14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1,10,11,12,8,4</w:t>
            </w:r>
          </w:p>
        </w:tc>
      </w:tr>
    </w:tbl>
    <w:p w:rsidR="006C5175" w:rsidRPr="006C5175" w:rsidRDefault="006C5175" w:rsidP="006C5175">
      <w:pPr>
        <w:shd w:val="clear" w:color="auto" w:fill="FFFFFF"/>
        <w:spacing w:after="30" w:line="240" w:lineRule="auto"/>
        <w:ind w:left="150" w:right="150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Таблица 4.2 - Исходные данные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524"/>
        <w:gridCol w:w="524"/>
        <w:gridCol w:w="578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</w:t>
            </w:r>
          </w:p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показателей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Альтернативные решения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 13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17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18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19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24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22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16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18</w:t>
            </w:r>
          </w:p>
        </w:tc>
      </w:tr>
    </w:tbl>
    <w:p w:rsidR="006C5175" w:rsidRPr="006C5175" w:rsidRDefault="006C5175" w:rsidP="006C5175">
      <w:pPr>
        <w:shd w:val="clear" w:color="auto" w:fill="FFFFFF"/>
        <w:spacing w:after="30" w:line="240" w:lineRule="auto"/>
        <w:ind w:left="150" w:right="150"/>
        <w:rPr>
          <w:rFonts w:eastAsia="Times New Roman"/>
          <w:color w:val="000000"/>
          <w:sz w:val="27"/>
          <w:szCs w:val="27"/>
          <w:lang w:eastAsia="ru-RU"/>
        </w:rPr>
      </w:pPr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 xml:space="preserve">Таблица 4.3 - </w:t>
      </w:r>
      <w:proofErr w:type="spellStart"/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>Критериальные</w:t>
      </w:r>
      <w:proofErr w:type="spellEnd"/>
      <w:r w:rsidRPr="006C5175">
        <w:rPr>
          <w:rFonts w:eastAsia="Times New Roman"/>
          <w:i/>
          <w:iCs/>
          <w:color w:val="000000"/>
          <w:sz w:val="27"/>
          <w:szCs w:val="27"/>
          <w:lang w:eastAsia="ru-RU"/>
        </w:rPr>
        <w:t xml:space="preserve"> показатели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2520"/>
        <w:gridCol w:w="1440"/>
        <w:gridCol w:w="1440"/>
      </w:tblGrid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№№ показателей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Наименование показателей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C5175">
              <w:rPr>
                <w:rFonts w:eastAsia="Times New Roman"/>
                <w:lang w:eastAsia="ru-RU"/>
              </w:rPr>
              <w:t>Един.изм</w:t>
            </w:r>
            <w:proofErr w:type="spellEnd"/>
            <w:r w:rsidRPr="006C5175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Пределы изменений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1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Рост объема производства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5-25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2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Увеличение рентабельности продукции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2-10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3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Рост производительности труда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3-15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4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Возврат капитальных вложений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годы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1-4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1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i/>
                <w:iCs/>
                <w:lang w:eastAsia="ru-RU"/>
              </w:rPr>
              <w:t>X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5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Срок освоения проекта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месяц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5-30</w:t>
            </w:r>
          </w:p>
        </w:tc>
      </w:tr>
    </w:tbl>
    <w:p w:rsidR="006C5175" w:rsidRPr="006C5175" w:rsidRDefault="006C5175" w:rsidP="006C5175">
      <w:pPr>
        <w:spacing w:after="0" w:line="240" w:lineRule="auto"/>
        <w:jc w:val="center"/>
        <w:outlineLvl w:val="1"/>
        <w:rPr>
          <w:rFonts w:eastAsia="Times New Roman"/>
          <w:b/>
          <w:bCs/>
          <w:color w:val="3333FF"/>
          <w:lang w:eastAsia="ru-RU"/>
        </w:rPr>
      </w:pPr>
      <w:r w:rsidRPr="006C5175">
        <w:rPr>
          <w:rFonts w:eastAsia="Times New Roman"/>
          <w:b/>
          <w:bCs/>
          <w:color w:val="3333FF"/>
          <w:lang w:eastAsia="ru-RU"/>
        </w:rPr>
        <w:t>5. Пример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Даны четыре варианта альтернативных решений, каждый из которых оценивается 5-ю </w:t>
      </w:r>
      <w:proofErr w:type="spellStart"/>
      <w:r w:rsidRPr="006C5175">
        <w:rPr>
          <w:rFonts w:eastAsia="Times New Roman"/>
          <w:lang w:eastAsia="ru-RU"/>
        </w:rPr>
        <w:t>критериальными</w:t>
      </w:r>
      <w:proofErr w:type="spellEnd"/>
      <w:r w:rsidRPr="006C5175">
        <w:rPr>
          <w:rFonts w:eastAsia="Times New Roman"/>
          <w:lang w:eastAsia="ru-RU"/>
        </w:rPr>
        <w:t xml:space="preserve"> показателями. Исходя из условий задания необходимо выбрать лучший вариант.</w:t>
      </w:r>
    </w:p>
    <w:p w:rsidR="006C5175" w:rsidRPr="006C5175" w:rsidRDefault="006C5175" w:rsidP="006C5175">
      <w:pPr>
        <w:spacing w:before="225" w:after="225" w:line="240" w:lineRule="auto"/>
        <w:ind w:left="150" w:right="150" w:firstLine="567"/>
        <w:outlineLvl w:val="4"/>
        <w:rPr>
          <w:rFonts w:eastAsia="Times New Roman"/>
          <w:b/>
          <w:bCs/>
          <w:color w:val="FF0000"/>
          <w:lang w:eastAsia="ru-RU"/>
        </w:rPr>
      </w:pPr>
      <w:r w:rsidRPr="006C5175">
        <w:rPr>
          <w:rFonts w:eastAsia="Times New Roman"/>
          <w:b/>
          <w:bCs/>
          <w:color w:val="FF0000"/>
          <w:lang w:eastAsia="ru-RU"/>
        </w:rPr>
        <w:t>(По заданию – 6 альтернативных вариантов</w:t>
      </w:r>
      <w:proofErr w:type="gramStart"/>
      <w:r w:rsidRPr="006C5175">
        <w:rPr>
          <w:rFonts w:eastAsia="Times New Roman"/>
          <w:b/>
          <w:bCs/>
          <w:color w:val="FF0000"/>
          <w:lang w:eastAsia="ru-RU"/>
        </w:rPr>
        <w:t>) !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775"/>
        <w:gridCol w:w="1775"/>
        <w:gridCol w:w="1775"/>
        <w:gridCol w:w="1775"/>
      </w:tblGrid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Шифр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Альтернативные решения; значения показателей в альтернативах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А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А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А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А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18</w:t>
            </w:r>
          </w:p>
        </w:tc>
      </w:tr>
    </w:tbl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lastRenderedPageBreak/>
        <w:t>На 1- ом этапе необходимо дать количественную оценку значимости каждого показателя. Используется метод по парного сравнения, в основе которого лежат экспертные оценки.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На основе этой оценки составляется таблица – матрица и </w:t>
      </w:r>
      <w:proofErr w:type="spellStart"/>
      <w:r w:rsidRPr="006C5175">
        <w:rPr>
          <w:rFonts w:eastAsia="Times New Roman"/>
          <w:lang w:eastAsia="ru-RU"/>
        </w:rPr>
        <w:t>расчитывается</w:t>
      </w:r>
      <w:proofErr w:type="spellEnd"/>
      <w:r w:rsidRPr="006C5175">
        <w:rPr>
          <w:rFonts w:eastAsia="Times New Roman"/>
          <w:lang w:eastAsia="ru-RU"/>
        </w:rPr>
        <w:t xml:space="preserve"> коэффициент значимости – </w:t>
      </w:r>
      <w:proofErr w:type="spellStart"/>
      <w:r w:rsidRPr="006C5175">
        <w:rPr>
          <w:rFonts w:eastAsia="Times New Roman"/>
          <w:i/>
          <w:iCs/>
          <w:lang w:eastAsia="ru-RU"/>
        </w:rPr>
        <w:t>K</w:t>
      </w:r>
      <w:r w:rsidRPr="006C5175">
        <w:rPr>
          <w:rFonts w:eastAsia="Times New Roman"/>
          <w:i/>
          <w:iCs/>
          <w:vertAlign w:val="subscript"/>
          <w:lang w:eastAsia="ru-RU"/>
        </w:rPr>
        <w:t>зi</w:t>
      </w:r>
      <w:proofErr w:type="spellEnd"/>
      <w:r w:rsidRPr="006C5175">
        <w:rPr>
          <w:rFonts w:eastAsia="Times New Roman"/>
          <w:lang w:eastAsia="ru-RU"/>
        </w:rPr>
        <w:t>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Количественная оценка значимости показателей определяется следующим образом: если </w:t>
      </w:r>
      <w:proofErr w:type="gramStart"/>
      <w:r w:rsidRPr="006C5175">
        <w:rPr>
          <w:rFonts w:eastAsia="Times New Roman"/>
          <w:lang w:eastAsia="ru-RU"/>
        </w:rPr>
        <w:t>при по парной оценке</w:t>
      </w:r>
      <w:proofErr w:type="gramEnd"/>
      <w:r w:rsidRPr="006C5175">
        <w:rPr>
          <w:rFonts w:eastAsia="Times New Roman"/>
          <w:lang w:eastAsia="ru-RU"/>
        </w:rPr>
        <w:t xml:space="preserve"> эксперт (специалист, потенциальный инвестор, потребитель) отдал предпочтение одному из факторов, то в строку и столбец матрицы количественной оценки ставится номер того фактора, которому отдано предпочтение, например (см. табл. 4). После этого по каждой строке определяется число </w:t>
      </w:r>
      <w:proofErr w:type="gramStart"/>
      <w:r w:rsidRPr="006C5175">
        <w:rPr>
          <w:rFonts w:eastAsia="Times New Roman"/>
          <w:lang w:eastAsia="ru-RU"/>
        </w:rPr>
        <w:t>предпочтений</w:t>
      </w:r>
      <w:proofErr w:type="gramEnd"/>
      <w:r w:rsidRPr="006C5175">
        <w:rPr>
          <w:rFonts w:eastAsia="Times New Roman"/>
          <w:lang w:eastAsia="ru-RU"/>
        </w:rPr>
        <w:t xml:space="preserve"> отданных тому или иному фактору при по парной их оценки и их сумма (∑</w:t>
      </w:r>
      <w:proofErr w:type="spellStart"/>
      <w:r w:rsidRPr="006C5175">
        <w:rPr>
          <w:rFonts w:eastAsia="Times New Roman"/>
          <w:i/>
          <w:iCs/>
          <w:lang w:eastAsia="ru-RU"/>
        </w:rPr>
        <w:t>П</w:t>
      </w:r>
      <w:r w:rsidRPr="006C5175">
        <w:rPr>
          <w:rFonts w:eastAsia="Times New Roman"/>
          <w:i/>
          <w:iCs/>
          <w:vertAlign w:val="subscript"/>
          <w:lang w:eastAsia="ru-RU"/>
        </w:rPr>
        <w:t>i</w:t>
      </w:r>
      <w:proofErr w:type="spellEnd"/>
      <w:r w:rsidRPr="006C5175">
        <w:rPr>
          <w:rFonts w:eastAsia="Times New Roman"/>
          <w:lang w:eastAsia="ru-RU"/>
        </w:rPr>
        <w:t xml:space="preserve">). Затем </w:t>
      </w:r>
      <w:proofErr w:type="spellStart"/>
      <w:r w:rsidRPr="006C5175">
        <w:rPr>
          <w:rFonts w:eastAsia="Times New Roman"/>
          <w:lang w:eastAsia="ru-RU"/>
        </w:rPr>
        <w:t>расчитывается</w:t>
      </w:r>
      <w:proofErr w:type="spellEnd"/>
      <w:r w:rsidRPr="006C5175">
        <w:rPr>
          <w:rFonts w:eastAsia="Times New Roman"/>
          <w:lang w:eastAsia="ru-RU"/>
        </w:rPr>
        <w:t xml:space="preserve"> коэффициент значимости по следующей формуле:        </w:t>
      </w:r>
    </w:p>
    <w:p w:rsidR="006C5175" w:rsidRPr="006C5175" w:rsidRDefault="006C5175" w:rsidP="006C5175">
      <w:pPr>
        <w:spacing w:after="30" w:line="240" w:lineRule="auto"/>
        <w:ind w:left="150" w:right="150"/>
        <w:jc w:val="center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noProof/>
          <w:lang w:eastAsia="ru-RU"/>
        </w:rPr>
        <mc:AlternateContent>
          <mc:Choice Requires="wps">
            <w:drawing>
              <wp:inline distT="0" distB="0" distL="0" distR="0" wp14:anchorId="41F360DD" wp14:editId="4B0673A7">
                <wp:extent cx="952500" cy="480060"/>
                <wp:effectExtent l="0" t="0" r="0" b="0"/>
                <wp:docPr id="3" name="AutoShape 1" descr="http://i-institute.tsu.tula.ru/moodle/pluginfile.php/16324/mod_resource/content/0/methods_management_solutions/kora/kora5/img/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B48CC" id="AutoShape 1" o:spid="_x0000_s1026" alt="http://i-institute.tsu.tula.ru/moodle/pluginfile.php/16324/mod_resource/content/0/methods_management_solutions/kora/kora5/img/001.gif" style="width:75pt;height:3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</w:p>
    <w:p w:rsidR="006C5175" w:rsidRPr="006C5175" w:rsidRDefault="006C5175" w:rsidP="006C5175">
      <w:pPr>
        <w:spacing w:before="225" w:after="225" w:line="240" w:lineRule="auto"/>
        <w:jc w:val="center"/>
        <w:outlineLvl w:val="2"/>
        <w:rPr>
          <w:rFonts w:eastAsia="Times New Roman"/>
          <w:b/>
          <w:bCs/>
          <w:color w:val="000066"/>
          <w:lang w:eastAsia="ru-RU"/>
        </w:rPr>
      </w:pPr>
      <w:r w:rsidRPr="006C5175">
        <w:rPr>
          <w:rFonts w:eastAsia="Times New Roman"/>
          <w:b/>
          <w:bCs/>
          <w:color w:val="000066"/>
          <w:lang w:eastAsia="ru-RU"/>
        </w:rPr>
        <w:t>Количественная оценка значимости показателей</w:t>
      </w:r>
    </w:p>
    <w:p w:rsidR="006C5175" w:rsidRPr="006C5175" w:rsidRDefault="006C5175" w:rsidP="006C5175">
      <w:pPr>
        <w:spacing w:after="30" w:line="240" w:lineRule="auto"/>
        <w:ind w:left="150" w:right="150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lang w:eastAsia="ru-RU"/>
        </w:rPr>
        <w:t>Таблица 4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584"/>
        <w:gridCol w:w="584"/>
        <w:gridCol w:w="584"/>
        <w:gridCol w:w="584"/>
        <w:gridCol w:w="584"/>
        <w:gridCol w:w="1341"/>
        <w:gridCol w:w="938"/>
      </w:tblGrid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?</w:t>
            </w:r>
            <w:proofErr w:type="spellStart"/>
            <w:r w:rsidRPr="006C5175">
              <w:rPr>
                <w:rFonts w:eastAsia="Times New Roman"/>
                <w:b/>
                <w:bCs/>
                <w:i/>
                <w:iCs/>
                <w:lang w:eastAsia="ru-RU"/>
              </w:rPr>
              <w:t>П</w:t>
            </w:r>
            <w:r w:rsidRPr="006C5175">
              <w:rPr>
                <w:rFonts w:eastAsia="Times New Roman"/>
                <w:b/>
                <w:bCs/>
                <w:i/>
                <w:iCs/>
                <w:vertAlign w:val="subscript"/>
                <w:lang w:eastAsia="ru-RU"/>
              </w:rPr>
              <w:t>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C5175">
              <w:rPr>
                <w:rFonts w:eastAsia="Times New Roman"/>
                <w:b/>
                <w:bCs/>
                <w:i/>
                <w:iCs/>
                <w:lang w:eastAsia="ru-RU"/>
              </w:rPr>
              <w:t>K</w:t>
            </w:r>
            <w:r w:rsidRPr="006C5175">
              <w:rPr>
                <w:rFonts w:eastAsia="Times New Roman"/>
                <w:b/>
                <w:bCs/>
                <w:i/>
                <w:iCs/>
                <w:vertAlign w:val="subscript"/>
                <w:lang w:eastAsia="ru-RU"/>
              </w:rPr>
              <w:t>зi</w:t>
            </w:r>
            <w:proofErr w:type="spellEnd"/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0,334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∑∑</w:t>
            </w:r>
            <w:proofErr w:type="spellStart"/>
            <w:r w:rsidRPr="006C5175">
              <w:rPr>
                <w:rFonts w:eastAsia="Times New Roman"/>
                <w:b/>
                <w:bCs/>
                <w:i/>
                <w:iCs/>
                <w:lang w:eastAsia="ru-RU"/>
              </w:rPr>
              <w:t>П</w:t>
            </w:r>
            <w:r w:rsidRPr="006C5175">
              <w:rPr>
                <w:rFonts w:eastAsia="Times New Roman"/>
                <w:b/>
                <w:bCs/>
                <w:i/>
                <w:iCs/>
                <w:vertAlign w:val="subscript"/>
                <w:lang w:eastAsia="ru-RU"/>
              </w:rPr>
              <w:t>i</w:t>
            </w:r>
            <w:proofErr w:type="spellEnd"/>
            <w:r w:rsidRPr="006C5175">
              <w:rPr>
                <w:rFonts w:eastAsia="Times New Roman"/>
                <w:b/>
                <w:bCs/>
                <w:lang w:eastAsia="ru-RU"/>
              </w:rPr>
              <w:t> =15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  ∑ =1</w:t>
            </w:r>
          </w:p>
        </w:tc>
      </w:tr>
    </w:tbl>
    <w:p w:rsidR="006C5175" w:rsidRPr="006C5175" w:rsidRDefault="006C5175" w:rsidP="006C5175">
      <w:pPr>
        <w:spacing w:before="225" w:after="225" w:line="240" w:lineRule="auto"/>
        <w:jc w:val="center"/>
        <w:outlineLvl w:val="2"/>
        <w:rPr>
          <w:rFonts w:eastAsia="Times New Roman"/>
          <w:b/>
          <w:bCs/>
          <w:color w:val="000066"/>
          <w:lang w:eastAsia="ru-RU"/>
        </w:rPr>
      </w:pPr>
      <w:r w:rsidRPr="006C5175">
        <w:rPr>
          <w:rFonts w:eastAsia="Times New Roman"/>
          <w:b/>
          <w:bCs/>
          <w:color w:val="000066"/>
          <w:lang w:eastAsia="ru-RU"/>
        </w:rPr>
        <w:t>Первый подход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Первый подход перевода в баллы характеризуется тем, что </w:t>
      </w:r>
      <w:r w:rsidRPr="006C5175">
        <w:rPr>
          <w:rFonts w:eastAsia="Times New Roman"/>
          <w:b/>
          <w:bCs/>
          <w:lang w:eastAsia="ru-RU"/>
        </w:rPr>
        <w:t>лучшее значение показателя</w:t>
      </w:r>
      <w:r w:rsidRPr="006C5175">
        <w:rPr>
          <w:rFonts w:eastAsia="Times New Roman"/>
          <w:lang w:eastAsia="ru-RU"/>
        </w:rPr>
        <w:t> принимаются равным 1 баллу, худшее оценивается в долях этого балла. Причем для показателей Х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, Х</w:t>
      </w:r>
      <w:r w:rsidRPr="006C5175">
        <w:rPr>
          <w:rFonts w:eastAsia="Times New Roman"/>
          <w:vertAlign w:val="subscript"/>
          <w:lang w:eastAsia="ru-RU"/>
        </w:rPr>
        <w:t>2</w:t>
      </w:r>
      <w:r w:rsidRPr="006C5175">
        <w:rPr>
          <w:rFonts w:eastAsia="Times New Roman"/>
          <w:lang w:eastAsia="ru-RU"/>
        </w:rPr>
        <w:t>, Х</w:t>
      </w:r>
      <w:r w:rsidRPr="006C5175">
        <w:rPr>
          <w:rFonts w:eastAsia="Times New Roman"/>
          <w:vertAlign w:val="subscript"/>
          <w:lang w:eastAsia="ru-RU"/>
        </w:rPr>
        <w:t>3</w:t>
      </w:r>
      <w:r w:rsidRPr="006C5175">
        <w:rPr>
          <w:rFonts w:eastAsia="Times New Roman"/>
          <w:lang w:eastAsia="ru-RU"/>
        </w:rPr>
        <w:t> – наибольшее значение показателя будет лучшим значением, а для показателей Х</w:t>
      </w:r>
      <w:proofErr w:type="gramStart"/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,Х</w:t>
      </w:r>
      <w:proofErr w:type="gramEnd"/>
      <w:r w:rsidRPr="006C5175">
        <w:rPr>
          <w:rFonts w:eastAsia="Times New Roman"/>
          <w:vertAlign w:val="subscript"/>
          <w:lang w:eastAsia="ru-RU"/>
        </w:rPr>
        <w:t>5</w:t>
      </w:r>
      <w:r w:rsidRPr="006C5175">
        <w:rPr>
          <w:rFonts w:eastAsia="Times New Roman"/>
          <w:lang w:eastAsia="ru-RU"/>
        </w:rPr>
        <w:t> наоборот, меньшее значение показателя будет лучшим значением.  Например, чтобы найти бальную оценку по первому показателю Х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альтернативы А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, необходимо численное значение показателя Х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 xml:space="preserve"> (берется из исходных данных) разделить на лучшее значение из всех альтернатив по данному </w:t>
      </w:r>
      <w:proofErr w:type="spellStart"/>
      <w:r w:rsidRPr="006C5175">
        <w:rPr>
          <w:rFonts w:eastAsia="Times New Roman"/>
          <w:lang w:eastAsia="ru-RU"/>
        </w:rPr>
        <w:t>критериальному</w:t>
      </w:r>
      <w:proofErr w:type="spellEnd"/>
      <w:r w:rsidRPr="006C5175">
        <w:rPr>
          <w:rFonts w:eastAsia="Times New Roman"/>
          <w:lang w:eastAsia="ru-RU"/>
        </w:rPr>
        <w:t xml:space="preserve"> показателю, т.е. Х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А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= 6/20 = 0,3 и т.д.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Далее необходимо определить комплексную оценку по каждой из рассматриваемых альтернатив. Для этого, полученную ранее бальную оценку по каждому </w:t>
      </w:r>
      <w:proofErr w:type="spellStart"/>
      <w:r w:rsidRPr="006C5175">
        <w:rPr>
          <w:rFonts w:eastAsia="Times New Roman"/>
          <w:lang w:eastAsia="ru-RU"/>
        </w:rPr>
        <w:t>критериальному</w:t>
      </w:r>
      <w:proofErr w:type="spellEnd"/>
      <w:r w:rsidRPr="006C5175">
        <w:rPr>
          <w:rFonts w:eastAsia="Times New Roman"/>
          <w:lang w:eastAsia="ru-RU"/>
        </w:rPr>
        <w:t xml:space="preserve"> показателю, по всем рассматриваемым альтернативам (левая часть табл.5) умножается на соответствующий коэффициент значимости – </w:t>
      </w:r>
      <w:proofErr w:type="spellStart"/>
      <w:r w:rsidRPr="006C5175">
        <w:rPr>
          <w:rFonts w:eastAsia="Times New Roman"/>
          <w:lang w:eastAsia="ru-RU"/>
        </w:rPr>
        <w:t>Kзi</w:t>
      </w:r>
      <w:proofErr w:type="spellEnd"/>
      <w:r w:rsidRPr="006C5175">
        <w:rPr>
          <w:rFonts w:eastAsia="Times New Roman"/>
          <w:lang w:eastAsia="ru-RU"/>
        </w:rPr>
        <w:t>, и полученный результат заносится в правую часть таблицы 5. После чего производится суммирование по столбцам – альтернатив и находится значение комплексной оценки. Чем больше значение полученной комплексной оценки, тем лучше альтернативный вариант решения из рассматриваемых.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Данный подход прост, дает объективную сравнительную оценку, но </w:t>
      </w:r>
      <w:proofErr w:type="spellStart"/>
      <w:r w:rsidRPr="006C5175">
        <w:rPr>
          <w:rFonts w:eastAsia="Times New Roman"/>
          <w:lang w:eastAsia="ru-RU"/>
        </w:rPr>
        <w:t>неучитывает</w:t>
      </w:r>
      <w:proofErr w:type="spellEnd"/>
      <w:r w:rsidRPr="006C5175">
        <w:rPr>
          <w:rFonts w:eastAsia="Times New Roman"/>
          <w:lang w:eastAsia="ru-RU"/>
        </w:rPr>
        <w:t xml:space="preserve"> лучшие достижения, которые не входят в состав сравнительных вариантов.</w:t>
      </w:r>
    </w:p>
    <w:p w:rsidR="006C5175" w:rsidRPr="006C5175" w:rsidRDefault="006C5175" w:rsidP="006C5175">
      <w:pPr>
        <w:spacing w:after="30" w:line="240" w:lineRule="auto"/>
        <w:ind w:left="150" w:right="150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lang w:eastAsia="ru-RU"/>
        </w:rPr>
        <w:t>Таблица 5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50"/>
        <w:gridCol w:w="750"/>
        <w:gridCol w:w="750"/>
        <w:gridCol w:w="750"/>
        <w:gridCol w:w="870"/>
        <w:gridCol w:w="870"/>
        <w:gridCol w:w="870"/>
        <w:gridCol w:w="870"/>
        <w:gridCol w:w="870"/>
      </w:tblGrid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Шифр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Оценка в баллах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C5175">
              <w:rPr>
                <w:rFonts w:eastAsia="Times New Roman"/>
                <w:lang w:eastAsia="ru-RU"/>
              </w:rPr>
              <w:t>K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зi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Оценка в баллах с учетом </w:t>
            </w:r>
            <w:proofErr w:type="spellStart"/>
            <w:r w:rsidRPr="006C5175">
              <w:rPr>
                <w:rFonts w:eastAsia="Times New Roman"/>
                <w:i/>
                <w:iCs/>
                <w:lang w:eastAsia="ru-RU"/>
              </w:rPr>
              <w:t>K</w:t>
            </w:r>
            <w:r w:rsidRPr="006C5175">
              <w:rPr>
                <w:rFonts w:eastAsia="Times New Roman"/>
                <w:i/>
                <w:iCs/>
                <w:vertAlign w:val="subscript"/>
                <w:lang w:eastAsia="ru-RU"/>
              </w:rPr>
              <w:t>зi</w:t>
            </w:r>
            <w:proofErr w:type="spellEnd"/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А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lastRenderedPageBreak/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0,178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0,110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0,045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Х</w:t>
            </w:r>
            <w:r w:rsidRPr="006C5175">
              <w:rPr>
                <w:rFonts w:eastAsia="Times New Roman"/>
                <w:b/>
                <w:bCs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0,204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Комплексная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0,728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0,535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0,721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0,737</w:t>
            </w:r>
          </w:p>
        </w:tc>
      </w:tr>
    </w:tbl>
    <w:p w:rsidR="006C5175" w:rsidRPr="006C5175" w:rsidRDefault="006C5175" w:rsidP="006C5175">
      <w:pPr>
        <w:spacing w:before="225" w:after="225" w:line="240" w:lineRule="auto"/>
        <w:ind w:left="150" w:right="150"/>
        <w:outlineLvl w:val="4"/>
        <w:rPr>
          <w:rFonts w:eastAsia="Times New Roman"/>
          <w:b/>
          <w:bCs/>
          <w:color w:val="FF0000"/>
          <w:lang w:eastAsia="ru-RU"/>
        </w:rPr>
      </w:pPr>
      <w:proofErr w:type="gramStart"/>
      <w:r w:rsidRPr="006C5175">
        <w:rPr>
          <w:rFonts w:eastAsia="Times New Roman"/>
          <w:b/>
          <w:bCs/>
          <w:color w:val="FF0000"/>
          <w:lang w:eastAsia="ru-RU"/>
        </w:rPr>
        <w:t>( Внимание</w:t>
      </w:r>
      <w:proofErr w:type="gramEnd"/>
      <w:r w:rsidRPr="006C5175">
        <w:rPr>
          <w:rFonts w:eastAsia="Times New Roman"/>
          <w:b/>
          <w:bCs/>
          <w:color w:val="FF0000"/>
          <w:lang w:eastAsia="ru-RU"/>
        </w:rPr>
        <w:t xml:space="preserve">! Необходимо привести все расчеты получения бальной и комплексной </w:t>
      </w:r>
      <w:proofErr w:type="gramStart"/>
      <w:r w:rsidRPr="006C5175">
        <w:rPr>
          <w:rFonts w:eastAsia="Times New Roman"/>
          <w:b/>
          <w:bCs/>
          <w:color w:val="FF0000"/>
          <w:lang w:eastAsia="ru-RU"/>
        </w:rPr>
        <w:t>оценки )</w:t>
      </w:r>
      <w:proofErr w:type="gramEnd"/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b/>
          <w:bCs/>
          <w:lang w:eastAsia="ru-RU"/>
        </w:rPr>
        <w:t>Вывод: </w:t>
      </w:r>
      <w:r w:rsidRPr="006C5175">
        <w:rPr>
          <w:rFonts w:eastAsia="Times New Roman"/>
          <w:lang w:eastAsia="ru-RU"/>
        </w:rPr>
        <w:t>используя первый подход лучшим вариантом из альтернативных будет вариант A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, так как он имеет наибольшую комплексную оценку. Далее идут варианты 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, A</w:t>
      </w:r>
      <w:r w:rsidRPr="006C5175">
        <w:rPr>
          <w:rFonts w:eastAsia="Times New Roman"/>
          <w:vertAlign w:val="subscript"/>
          <w:lang w:eastAsia="ru-RU"/>
        </w:rPr>
        <w:t>3</w:t>
      </w:r>
      <w:r w:rsidRPr="006C5175">
        <w:rPr>
          <w:rFonts w:eastAsia="Times New Roman"/>
          <w:lang w:eastAsia="ru-RU"/>
        </w:rPr>
        <w:t>, A</w:t>
      </w:r>
      <w:r w:rsidRPr="006C5175">
        <w:rPr>
          <w:rFonts w:eastAsia="Times New Roman"/>
          <w:vertAlign w:val="subscript"/>
          <w:lang w:eastAsia="ru-RU"/>
        </w:rPr>
        <w:t>2</w:t>
      </w:r>
      <w:r w:rsidRPr="006C5175">
        <w:rPr>
          <w:rFonts w:eastAsia="Times New Roman"/>
          <w:lang w:eastAsia="ru-RU"/>
        </w:rPr>
        <w:t>.</w:t>
      </w:r>
    </w:p>
    <w:p w:rsidR="006C5175" w:rsidRPr="006C5175" w:rsidRDefault="006C5175" w:rsidP="006C5175">
      <w:pPr>
        <w:spacing w:before="225" w:after="225" w:line="240" w:lineRule="auto"/>
        <w:jc w:val="center"/>
        <w:outlineLvl w:val="2"/>
        <w:rPr>
          <w:rFonts w:eastAsia="Times New Roman"/>
          <w:b/>
          <w:bCs/>
          <w:color w:val="000066"/>
          <w:lang w:eastAsia="ru-RU"/>
        </w:rPr>
      </w:pPr>
      <w:r w:rsidRPr="006C5175">
        <w:rPr>
          <w:rFonts w:eastAsia="Times New Roman"/>
          <w:b/>
          <w:bCs/>
          <w:color w:val="000066"/>
          <w:lang w:eastAsia="ru-RU"/>
        </w:rPr>
        <w:t>Второй подход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Исключает недостатки первого подхода, но для его использования необходима информация о пределах изменения рассматриваемого показателя. При этом для перевода в баллы строится шкала перевода. Система бальной оценки выбирается на основе положений теории статистики и зависит от числа наблюдений, положенных в основу формирования пределов изменения показателей.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Предположим, в нашем примере проведено 8 наблюдений (N=8), которые позволили установить следующие пределы изменения качественных показателей (см. табл. 3).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При наличии этих показателей строится шкала перевода в баллы.</w:t>
      </w:r>
    </w:p>
    <w:p w:rsidR="006C5175" w:rsidRPr="006C5175" w:rsidRDefault="006C5175" w:rsidP="006C5175">
      <w:pPr>
        <w:spacing w:after="30" w:line="240" w:lineRule="auto"/>
        <w:ind w:left="150" w:right="150"/>
        <w:jc w:val="center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lang w:eastAsia="ru-RU"/>
        </w:rPr>
        <w:t>n </w:t>
      </w:r>
      <w:r w:rsidRPr="006C5175">
        <w:rPr>
          <w:rFonts w:eastAsia="Times New Roman"/>
          <w:lang w:eastAsia="ru-RU"/>
        </w:rPr>
        <w:t xml:space="preserve">= 1 + 3,322 </w:t>
      </w:r>
      <w:proofErr w:type="spellStart"/>
      <w:r w:rsidRPr="006C5175">
        <w:rPr>
          <w:rFonts w:eastAsia="Times New Roman"/>
          <w:lang w:eastAsia="ru-RU"/>
        </w:rPr>
        <w:t>lg</w:t>
      </w:r>
      <w:proofErr w:type="spellEnd"/>
      <w:r w:rsidRPr="006C5175">
        <w:rPr>
          <w:rFonts w:eastAsia="Times New Roman"/>
          <w:lang w:eastAsia="ru-RU"/>
        </w:rPr>
        <w:t> </w:t>
      </w:r>
      <w:r w:rsidRPr="006C5175">
        <w:rPr>
          <w:rFonts w:eastAsia="Times New Roman"/>
          <w:i/>
          <w:iCs/>
          <w:lang w:eastAsia="ru-RU"/>
        </w:rPr>
        <w:t>N</w:t>
      </w:r>
      <w:r w:rsidRPr="006C5175">
        <w:rPr>
          <w:rFonts w:eastAsia="Times New Roman"/>
          <w:lang w:eastAsia="ru-RU"/>
        </w:rPr>
        <w:t xml:space="preserve"> - формула </w:t>
      </w:r>
      <w:proofErr w:type="spellStart"/>
      <w:r w:rsidRPr="006C5175">
        <w:rPr>
          <w:rFonts w:eastAsia="Times New Roman"/>
          <w:lang w:eastAsia="ru-RU"/>
        </w:rPr>
        <w:t>Стерджеса</w:t>
      </w:r>
      <w:proofErr w:type="spellEnd"/>
      <w:r w:rsidRPr="006C5175">
        <w:rPr>
          <w:rFonts w:eastAsia="Times New Roman"/>
          <w:lang w:eastAsia="ru-RU"/>
        </w:rPr>
        <w:t>,</w:t>
      </w:r>
    </w:p>
    <w:p w:rsidR="006C5175" w:rsidRPr="006C5175" w:rsidRDefault="006C5175" w:rsidP="006C5175">
      <w:pPr>
        <w:spacing w:after="30" w:line="240" w:lineRule="auto"/>
        <w:ind w:left="150" w:right="150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где </w:t>
      </w:r>
      <w:r w:rsidRPr="006C5175">
        <w:rPr>
          <w:rFonts w:eastAsia="Times New Roman"/>
          <w:i/>
          <w:iCs/>
          <w:lang w:eastAsia="ru-RU"/>
        </w:rPr>
        <w:t>N</w:t>
      </w:r>
      <w:r w:rsidRPr="006C5175">
        <w:rPr>
          <w:rFonts w:eastAsia="Times New Roman"/>
          <w:lang w:eastAsia="ru-RU"/>
        </w:rPr>
        <w:t> – число наблюдений.</w:t>
      </w:r>
    </w:p>
    <w:p w:rsidR="006C5175" w:rsidRPr="006C5175" w:rsidRDefault="006C5175" w:rsidP="006C5175">
      <w:pPr>
        <w:spacing w:after="30" w:line="240" w:lineRule="auto"/>
        <w:ind w:left="150" w:right="150"/>
        <w:jc w:val="center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lang w:eastAsia="ru-RU"/>
        </w:rPr>
        <w:t>n </w:t>
      </w:r>
      <w:r w:rsidRPr="006C5175">
        <w:rPr>
          <w:rFonts w:eastAsia="Times New Roman"/>
          <w:lang w:eastAsia="ru-RU"/>
        </w:rPr>
        <w:t xml:space="preserve">= 1 + 3,322 </w:t>
      </w:r>
      <w:proofErr w:type="spellStart"/>
      <w:r w:rsidRPr="006C5175">
        <w:rPr>
          <w:rFonts w:eastAsia="Times New Roman"/>
          <w:lang w:eastAsia="ru-RU"/>
        </w:rPr>
        <w:t>lg</w:t>
      </w:r>
      <w:proofErr w:type="spellEnd"/>
      <w:r w:rsidRPr="006C5175">
        <w:rPr>
          <w:rFonts w:eastAsia="Times New Roman"/>
          <w:lang w:eastAsia="ru-RU"/>
        </w:rPr>
        <w:t xml:space="preserve"> 8 ≈ 4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Следовательно, оценка качественного показателя будет производиться по 4-х бальной системе, т.е. </w:t>
      </w:r>
      <w:r w:rsidRPr="006C5175">
        <w:rPr>
          <w:rFonts w:eastAsia="Times New Roman"/>
          <w:i/>
          <w:iCs/>
          <w:lang w:eastAsia="ru-RU"/>
        </w:rPr>
        <w:t>n</w:t>
      </w:r>
      <w:r w:rsidRPr="006C5175">
        <w:rPr>
          <w:rFonts w:eastAsia="Times New Roman"/>
          <w:lang w:eastAsia="ru-RU"/>
        </w:rPr>
        <w:t> = 4.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Далее определяется размах варьирования и шаг изменения значения показателя в расчете на баллы </w:t>
      </w:r>
      <w:r w:rsidRPr="006C5175">
        <w:rPr>
          <w:rFonts w:eastAsia="Times New Roman"/>
          <w:b/>
          <w:bCs/>
          <w:lang w:eastAsia="ru-RU"/>
        </w:rPr>
        <w:t xml:space="preserve">по каждому </w:t>
      </w:r>
      <w:proofErr w:type="spellStart"/>
      <w:r w:rsidRPr="006C5175">
        <w:rPr>
          <w:rFonts w:eastAsia="Times New Roman"/>
          <w:b/>
          <w:bCs/>
          <w:lang w:eastAsia="ru-RU"/>
        </w:rPr>
        <w:t>критериальному</w:t>
      </w:r>
      <w:proofErr w:type="spellEnd"/>
      <w:r w:rsidRPr="006C5175">
        <w:rPr>
          <w:rFonts w:eastAsia="Times New Roman"/>
          <w:b/>
          <w:bCs/>
          <w:lang w:eastAsia="ru-RU"/>
        </w:rPr>
        <w:t xml:space="preserve"> показателю</w:t>
      </w:r>
      <w:r w:rsidRPr="006C5175">
        <w:rPr>
          <w:rFonts w:eastAsia="Times New Roman"/>
          <w:lang w:eastAsia="ru-RU"/>
        </w:rPr>
        <w:t>. Определим, например, размах варьирования и шаг изменения показателя X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:</w:t>
      </w:r>
    </w:p>
    <w:p w:rsidR="006C5175" w:rsidRPr="006C5175" w:rsidRDefault="006C5175" w:rsidP="006C5175">
      <w:pPr>
        <w:spacing w:after="30" w:line="240" w:lineRule="auto"/>
        <w:ind w:left="150" w:right="150"/>
        <w:jc w:val="center"/>
        <w:rPr>
          <w:rFonts w:eastAsia="Times New Roman"/>
          <w:lang w:eastAsia="ru-RU"/>
        </w:rPr>
      </w:pPr>
      <w:proofErr w:type="spellStart"/>
      <w:r w:rsidRPr="006C5175">
        <w:rPr>
          <w:rFonts w:eastAsia="Times New Roman"/>
          <w:i/>
          <w:iCs/>
          <w:lang w:eastAsia="ru-RU"/>
        </w:rPr>
        <w:t>R</w:t>
      </w:r>
      <w:r w:rsidRPr="006C5175">
        <w:rPr>
          <w:rFonts w:eastAsia="Times New Roman"/>
          <w:i/>
          <w:iCs/>
          <w:vertAlign w:val="subscript"/>
          <w:lang w:eastAsia="ru-RU"/>
        </w:rPr>
        <w:t>Pi</w:t>
      </w:r>
      <w:proofErr w:type="spellEnd"/>
      <w:r w:rsidRPr="006C5175">
        <w:rPr>
          <w:rFonts w:eastAsia="Times New Roman"/>
          <w:lang w:eastAsia="ru-RU"/>
        </w:rPr>
        <w:t> = </w:t>
      </w:r>
      <w:proofErr w:type="spellStart"/>
      <w:r w:rsidRPr="006C5175">
        <w:rPr>
          <w:rFonts w:eastAsia="Times New Roman"/>
          <w:i/>
          <w:iCs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max</w:t>
      </w:r>
      <w:r w:rsidRPr="006C5175">
        <w:rPr>
          <w:rFonts w:eastAsia="Times New Roman"/>
          <w:i/>
          <w:iCs/>
          <w:vertAlign w:val="subscript"/>
          <w:lang w:eastAsia="ru-RU"/>
        </w:rPr>
        <w:t>i</w:t>
      </w:r>
      <w:proofErr w:type="spellEnd"/>
      <w:r w:rsidRPr="006C5175">
        <w:rPr>
          <w:rFonts w:eastAsia="Times New Roman"/>
          <w:lang w:eastAsia="ru-RU"/>
        </w:rPr>
        <w:t> - </w:t>
      </w:r>
      <w:proofErr w:type="spellStart"/>
      <w:proofErr w:type="gramStart"/>
      <w:r w:rsidRPr="006C5175">
        <w:rPr>
          <w:rFonts w:eastAsia="Times New Roman"/>
          <w:i/>
          <w:iCs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min</w:t>
      </w:r>
      <w:r w:rsidRPr="006C5175">
        <w:rPr>
          <w:rFonts w:eastAsia="Times New Roman"/>
          <w:i/>
          <w:iCs/>
          <w:vertAlign w:val="subscript"/>
          <w:lang w:eastAsia="ru-RU"/>
        </w:rPr>
        <w:t>i</w:t>
      </w:r>
      <w:proofErr w:type="spellEnd"/>
      <w:r w:rsidRPr="006C5175">
        <w:rPr>
          <w:rFonts w:eastAsia="Times New Roman"/>
          <w:lang w:eastAsia="ru-RU"/>
        </w:rPr>
        <w:t>  -</w:t>
      </w:r>
      <w:proofErr w:type="gramEnd"/>
      <w:r w:rsidRPr="006C5175">
        <w:rPr>
          <w:rFonts w:eastAsia="Times New Roman"/>
          <w:lang w:eastAsia="ru-RU"/>
        </w:rPr>
        <w:t xml:space="preserve"> размах варьирования,</w:t>
      </w:r>
    </w:p>
    <w:p w:rsidR="006C5175" w:rsidRPr="006C5175" w:rsidRDefault="006C5175" w:rsidP="006C5175">
      <w:pPr>
        <w:spacing w:after="30" w:line="240" w:lineRule="auto"/>
        <w:ind w:left="150" w:right="150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где </w:t>
      </w:r>
      <w:proofErr w:type="spellStart"/>
      <w:proofErr w:type="gramStart"/>
      <w:r w:rsidRPr="006C5175">
        <w:rPr>
          <w:rFonts w:eastAsia="Times New Roman"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maxi</w:t>
      </w:r>
      <w:proofErr w:type="spellEnd"/>
      <w:r w:rsidRPr="006C5175">
        <w:rPr>
          <w:rFonts w:eastAsia="Times New Roman"/>
          <w:lang w:eastAsia="ru-RU"/>
        </w:rPr>
        <w:t> ,</w:t>
      </w:r>
      <w:proofErr w:type="gramEnd"/>
      <w:r w:rsidRPr="006C5175">
        <w:rPr>
          <w:rFonts w:eastAsia="Times New Roman"/>
          <w:lang w:eastAsia="ru-RU"/>
        </w:rPr>
        <w:t xml:space="preserve"> </w:t>
      </w:r>
      <w:proofErr w:type="spellStart"/>
      <w:r w:rsidRPr="006C5175">
        <w:rPr>
          <w:rFonts w:eastAsia="Times New Roman"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mini</w:t>
      </w:r>
      <w:proofErr w:type="spellEnd"/>
      <w:r w:rsidRPr="006C5175">
        <w:rPr>
          <w:rFonts w:eastAsia="Times New Roman"/>
          <w:lang w:eastAsia="ru-RU"/>
        </w:rPr>
        <w:t> - максимальное и минимальное значения из пределов изменения i – показателя.</w:t>
      </w:r>
    </w:p>
    <w:p w:rsidR="006C5175" w:rsidRPr="006C5175" w:rsidRDefault="006C5175" w:rsidP="006C5175">
      <w:pPr>
        <w:spacing w:after="30" w:line="240" w:lineRule="auto"/>
        <w:ind w:left="150" w:right="150" w:firstLine="340"/>
        <w:rPr>
          <w:rFonts w:eastAsia="Times New Roman"/>
          <w:lang w:eastAsia="ru-RU"/>
        </w:rPr>
      </w:pPr>
      <w:r w:rsidRPr="006C5175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30D7E59D" wp14:editId="6FA93FD4">
                <wp:extent cx="495300" cy="388620"/>
                <wp:effectExtent l="0" t="0" r="0" b="0"/>
                <wp:docPr id="2" name="AutoShape 2" descr="http://i-institute.tsu.tula.ru/moodle/pluginfile.php/16324/mod_resource/content/0/methods_management_solutions/kora/kora5/img/00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530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07C743" id="AutoShape 2" o:spid="_x0000_s1026" alt="http://i-institute.tsu.tula.ru/moodle/pluginfile.php/16324/mod_resource/content/0/methods_management_solutions/kora/kora5/img/002.gif" style="width:39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6C5175">
        <w:rPr>
          <w:rFonts w:eastAsia="Times New Roman"/>
          <w:lang w:eastAsia="ru-RU"/>
        </w:rPr>
        <w:t> - шаг изменения показателя.</w:t>
      </w:r>
    </w:p>
    <w:p w:rsidR="006C5175" w:rsidRPr="006C5175" w:rsidRDefault="006C5175" w:rsidP="006C5175">
      <w:pPr>
        <w:spacing w:after="30" w:line="240" w:lineRule="auto"/>
        <w:ind w:left="150" w:right="150"/>
        <w:jc w:val="center"/>
        <w:rPr>
          <w:rFonts w:eastAsia="Times New Roman"/>
          <w:lang w:eastAsia="ru-RU"/>
        </w:rPr>
      </w:pPr>
      <w:proofErr w:type="spellStart"/>
      <w:r w:rsidRPr="006C5175">
        <w:rPr>
          <w:rFonts w:eastAsia="Times New Roman"/>
          <w:i/>
          <w:iCs/>
          <w:lang w:eastAsia="ru-RU"/>
        </w:rPr>
        <w:t>R</w:t>
      </w:r>
      <w:r w:rsidRPr="006C5175">
        <w:rPr>
          <w:rFonts w:eastAsia="Times New Roman"/>
          <w:i/>
          <w:iCs/>
          <w:vertAlign w:val="subscript"/>
          <w:lang w:eastAsia="ru-RU"/>
        </w:rPr>
        <w:t>Pi</w:t>
      </w:r>
      <w:proofErr w:type="spellEnd"/>
      <w:r w:rsidRPr="006C5175">
        <w:rPr>
          <w:rFonts w:eastAsia="Times New Roman"/>
          <w:lang w:eastAsia="ru-RU"/>
        </w:rPr>
        <w:t> = </w:t>
      </w:r>
      <w:proofErr w:type="spellStart"/>
      <w:r w:rsidRPr="006C5175">
        <w:rPr>
          <w:rFonts w:eastAsia="Times New Roman"/>
          <w:i/>
          <w:iCs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max</w:t>
      </w:r>
      <w:r w:rsidRPr="006C5175">
        <w:rPr>
          <w:rFonts w:eastAsia="Times New Roman"/>
          <w:i/>
          <w:iCs/>
          <w:vertAlign w:val="subscript"/>
          <w:lang w:eastAsia="ru-RU"/>
        </w:rPr>
        <w:t>i</w:t>
      </w:r>
      <w:proofErr w:type="spellEnd"/>
      <w:r w:rsidRPr="006C5175">
        <w:rPr>
          <w:rFonts w:eastAsia="Times New Roman"/>
          <w:lang w:eastAsia="ru-RU"/>
        </w:rPr>
        <w:t> - </w:t>
      </w:r>
      <w:proofErr w:type="spellStart"/>
      <w:r w:rsidRPr="006C5175">
        <w:rPr>
          <w:rFonts w:eastAsia="Times New Roman"/>
          <w:i/>
          <w:iCs/>
          <w:lang w:eastAsia="ru-RU"/>
        </w:rPr>
        <w:t>P</w:t>
      </w:r>
      <w:r w:rsidRPr="006C5175">
        <w:rPr>
          <w:rFonts w:eastAsia="Times New Roman"/>
          <w:vertAlign w:val="subscript"/>
          <w:lang w:eastAsia="ru-RU"/>
        </w:rPr>
        <w:t>min</w:t>
      </w:r>
      <w:r w:rsidRPr="006C5175">
        <w:rPr>
          <w:rFonts w:eastAsia="Times New Roman"/>
          <w:i/>
          <w:iCs/>
          <w:vertAlign w:val="subscript"/>
          <w:lang w:eastAsia="ru-RU"/>
        </w:rPr>
        <w:t>i</w:t>
      </w:r>
      <w:proofErr w:type="spellEnd"/>
      <w:r w:rsidRPr="006C5175">
        <w:rPr>
          <w:rFonts w:eastAsia="Times New Roman"/>
          <w:lang w:eastAsia="ru-RU"/>
        </w:rPr>
        <w:t> = 25 - 5 = 20</w:t>
      </w:r>
    </w:p>
    <w:p w:rsidR="006C5175" w:rsidRPr="006C5175" w:rsidRDefault="006C5175" w:rsidP="006C5175">
      <w:pPr>
        <w:spacing w:after="30" w:line="240" w:lineRule="auto"/>
        <w:ind w:left="150" w:right="150" w:firstLine="340"/>
        <w:jc w:val="center"/>
        <w:rPr>
          <w:rFonts w:eastAsia="Times New Roman"/>
          <w:lang w:eastAsia="ru-RU"/>
        </w:rPr>
      </w:pPr>
      <w:r w:rsidRPr="006C5175"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65907E04" wp14:editId="01EA2851">
                <wp:extent cx="662940" cy="388620"/>
                <wp:effectExtent l="0" t="0" r="0" b="0"/>
                <wp:docPr id="1" name="AutoShape 3" descr="http://i-institute.tsu.tula.ru/moodle/pluginfile.php/16324/mod_resource/content/0/methods_management_solutions/kora/kora5/img/0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6294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516EF" id="AutoShape 3" o:spid="_x0000_s1026" alt="http://i-institute.tsu.tula.ru/moodle/pluginfile.php/16324/mod_resource/content/0/methods_management_solutions/kora/kora5/img/003.gif" style="width:52.2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Шкала перевода в баллы представляет собой таблицу, в которой для каждого балла указываются пределы изменения показателей. При переводе значений показателей в баллы по данной шкале, если значение показателя лежит внутри интервала, то применяют процедуру интерполирования табличных данных.</w:t>
      </w:r>
    </w:p>
    <w:p w:rsidR="006C5175" w:rsidRPr="006C5175" w:rsidRDefault="006C5175" w:rsidP="006C5175">
      <w:pPr>
        <w:spacing w:before="225" w:after="225" w:line="240" w:lineRule="auto"/>
        <w:jc w:val="center"/>
        <w:outlineLvl w:val="2"/>
        <w:rPr>
          <w:rFonts w:eastAsia="Times New Roman"/>
          <w:b/>
          <w:bCs/>
          <w:color w:val="000066"/>
          <w:lang w:eastAsia="ru-RU"/>
        </w:rPr>
      </w:pPr>
      <w:r w:rsidRPr="006C5175">
        <w:rPr>
          <w:rFonts w:eastAsia="Times New Roman"/>
          <w:b/>
          <w:bCs/>
          <w:color w:val="000066"/>
          <w:lang w:eastAsia="ru-RU"/>
        </w:rPr>
        <w:t>Шкала перевода в баллы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1"/>
        <w:gridCol w:w="1242"/>
        <w:gridCol w:w="1422"/>
        <w:gridCol w:w="1422"/>
        <w:gridCol w:w="1422"/>
      </w:tblGrid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Шифр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Оценка в баллах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0÷1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1÷2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2÷3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3÷4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Пределы изменения показателей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5÷10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10÷15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15÷20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20÷25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2÷4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4÷6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6÷8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8÷10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3÷6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6÷9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9÷12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12÷15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4÷3,25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3,25÷2,5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2,5÷1,75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1,75÷1,00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30÷23,75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23,75÷17,5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17,5÷11,25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11,25÷5,00</w:t>
            </w:r>
          </w:p>
        </w:tc>
      </w:tr>
    </w:tbl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Далее производится оценка качественных показателей всех изделий в баллах. Например, </w:t>
      </w:r>
      <w:r w:rsidRPr="006C5175">
        <w:rPr>
          <w:rFonts w:eastAsia="Times New Roman"/>
          <w:b/>
          <w:bCs/>
          <w:lang w:eastAsia="ru-RU"/>
        </w:rPr>
        <w:t>по показателю X</w:t>
      </w:r>
      <w:r w:rsidRPr="006C5175">
        <w:rPr>
          <w:rFonts w:eastAsia="Times New Roman"/>
          <w:b/>
          <w:bCs/>
          <w:vertAlign w:val="subscript"/>
          <w:lang w:eastAsia="ru-RU"/>
        </w:rPr>
        <w:t>1</w:t>
      </w:r>
      <w:r w:rsidRPr="006C5175">
        <w:rPr>
          <w:rFonts w:eastAsia="Times New Roman"/>
          <w:b/>
          <w:bCs/>
          <w:lang w:eastAsia="ru-RU"/>
        </w:rPr>
        <w:t> альтернативы A</w:t>
      </w:r>
      <w:r w:rsidRPr="006C5175">
        <w:rPr>
          <w:rFonts w:eastAsia="Times New Roman"/>
          <w:b/>
          <w:bCs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: из исходных данных берется численное значение показателя, затем используя шкалу перевода в баллы определяется интервал куда попадает это значение. После дается бальная оценка: из численного значения показателя вычитается нижний предел изменения показателя в данном интервале делится на шаг и прибавляется предыдущий интервал. Получим X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= (6-5)/5+ 0 = 0,2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По показателям X</w:t>
      </w:r>
      <w:proofErr w:type="gramStart"/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,X</w:t>
      </w:r>
      <w:proofErr w:type="gramEnd"/>
      <w:r w:rsidRPr="006C5175">
        <w:rPr>
          <w:rFonts w:eastAsia="Times New Roman"/>
          <w:vertAlign w:val="subscript"/>
          <w:lang w:eastAsia="ru-RU"/>
        </w:rPr>
        <w:t>5</w:t>
      </w:r>
      <w:r w:rsidRPr="006C5175">
        <w:rPr>
          <w:rFonts w:eastAsia="Times New Roman"/>
          <w:lang w:eastAsia="ru-RU"/>
        </w:rPr>
        <w:t>- из верхнего предела изменения показателя в данном интервале  вычитается численное значение показателя делится на шаг и прибавляется предыдущий интервал. Например, по показателю X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 альтернативы 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получим: X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= (4 – 4))/ 0,75 + 0 = 0; X</w:t>
      </w:r>
      <w:r w:rsidRPr="006C5175">
        <w:rPr>
          <w:rFonts w:eastAsia="Times New Roman"/>
          <w:vertAlign w:val="subscript"/>
          <w:lang w:eastAsia="ru-RU"/>
        </w:rPr>
        <w:t>5</w:t>
      </w:r>
      <w:r w:rsidRPr="006C5175">
        <w:rPr>
          <w:rFonts w:eastAsia="Times New Roman"/>
          <w:lang w:eastAsia="ru-RU"/>
        </w:rPr>
        <w:t>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 = (11,25 -11)/6,25 + 3 = 3,04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 xml:space="preserve">Полученные значения по аналогии с первым подходом сводятся в нижеследующую таблицу 6 и </w:t>
      </w:r>
      <w:proofErr w:type="gramStart"/>
      <w:r w:rsidRPr="006C5175">
        <w:rPr>
          <w:rFonts w:eastAsia="Times New Roman"/>
          <w:lang w:eastAsia="ru-RU"/>
        </w:rPr>
        <w:t>также,  как</w:t>
      </w:r>
      <w:proofErr w:type="gramEnd"/>
      <w:r w:rsidRPr="006C5175">
        <w:rPr>
          <w:rFonts w:eastAsia="Times New Roman"/>
          <w:lang w:eastAsia="ru-RU"/>
        </w:rPr>
        <w:t xml:space="preserve"> в первом случае определяется комплексная оценка.</w:t>
      </w:r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lang w:eastAsia="ru-RU"/>
        </w:rPr>
        <w:t>Причем, результаты использования первого и второго подходов должны быть идентичны (не по полученным численным значениям, а по смыслу, т.е. если, например, используя первый подход лучшим вариантом из альтернативных стал вариант A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, то и при использовании второго подхода- лучшим вариантом из альтернативных должен быть вариант A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).</w:t>
      </w:r>
    </w:p>
    <w:p w:rsidR="006C5175" w:rsidRPr="006C5175" w:rsidRDefault="006C5175" w:rsidP="006C5175">
      <w:pPr>
        <w:spacing w:after="30" w:line="240" w:lineRule="auto"/>
        <w:ind w:left="150" w:right="150"/>
        <w:rPr>
          <w:rFonts w:eastAsia="Times New Roman"/>
          <w:lang w:eastAsia="ru-RU"/>
        </w:rPr>
      </w:pPr>
      <w:r w:rsidRPr="006C5175">
        <w:rPr>
          <w:rFonts w:eastAsia="Times New Roman"/>
          <w:i/>
          <w:iCs/>
          <w:lang w:eastAsia="ru-RU"/>
        </w:rPr>
        <w:t>Таблица 6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855"/>
        <w:gridCol w:w="855"/>
        <w:gridCol w:w="855"/>
        <w:gridCol w:w="855"/>
        <w:gridCol w:w="994"/>
        <w:gridCol w:w="870"/>
        <w:gridCol w:w="870"/>
        <w:gridCol w:w="870"/>
        <w:gridCol w:w="870"/>
      </w:tblGrid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Шифр показателя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Оценка в баллах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6C5175">
              <w:rPr>
                <w:rFonts w:eastAsia="Times New Roman"/>
                <w:lang w:eastAsia="ru-RU"/>
              </w:rPr>
              <w:t>K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зi</w:t>
            </w:r>
            <w:proofErr w:type="spell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 xml:space="preserve">Оценка в баллах с учетом </w:t>
            </w:r>
            <w:proofErr w:type="spellStart"/>
            <w:r w:rsidRPr="006C5175">
              <w:rPr>
                <w:rFonts w:eastAsia="Times New Roman"/>
                <w:lang w:eastAsia="ru-RU"/>
              </w:rPr>
              <w:t>Kзi</w:t>
            </w:r>
            <w:proofErr w:type="spellEnd"/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A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0,268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0,134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0,536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0,224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X</w:t>
            </w:r>
            <w:r w:rsidRPr="006C5175">
              <w:rPr>
                <w:rFonts w:eastAsia="Times New Roman"/>
                <w:vertAlign w:val="subscript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0,481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0,374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0,642</w:t>
            </w:r>
          </w:p>
        </w:tc>
      </w:tr>
      <w:tr w:rsidR="006C5175" w:rsidRPr="006C5175" w:rsidTr="006C517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7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Комплексная 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1,432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lang w:eastAsia="ru-RU"/>
              </w:rPr>
              <w:t>2,149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C5175" w:rsidRPr="006C5175" w:rsidRDefault="006C5175" w:rsidP="006C5175">
            <w:pPr>
              <w:spacing w:after="30" w:line="240" w:lineRule="auto"/>
              <w:ind w:left="150" w:right="150"/>
              <w:jc w:val="center"/>
              <w:rPr>
                <w:rFonts w:eastAsia="Times New Roman"/>
                <w:lang w:eastAsia="ru-RU"/>
              </w:rPr>
            </w:pPr>
            <w:r w:rsidRPr="006C5175">
              <w:rPr>
                <w:rFonts w:eastAsia="Times New Roman"/>
                <w:b/>
                <w:bCs/>
                <w:lang w:eastAsia="ru-RU"/>
              </w:rPr>
              <w:t>2,334</w:t>
            </w:r>
          </w:p>
        </w:tc>
      </w:tr>
    </w:tbl>
    <w:p w:rsidR="006C5175" w:rsidRPr="006C5175" w:rsidRDefault="006C5175" w:rsidP="006C5175">
      <w:pPr>
        <w:spacing w:before="225" w:after="225" w:line="240" w:lineRule="auto"/>
        <w:ind w:left="150" w:right="150"/>
        <w:outlineLvl w:val="4"/>
        <w:rPr>
          <w:rFonts w:eastAsia="Times New Roman"/>
          <w:b/>
          <w:bCs/>
          <w:color w:val="FF0000"/>
          <w:lang w:eastAsia="ru-RU"/>
        </w:rPr>
      </w:pPr>
      <w:proofErr w:type="gramStart"/>
      <w:r w:rsidRPr="006C5175">
        <w:rPr>
          <w:rFonts w:eastAsia="Times New Roman"/>
          <w:b/>
          <w:bCs/>
          <w:color w:val="FF0000"/>
          <w:lang w:eastAsia="ru-RU"/>
        </w:rPr>
        <w:t>( Внимание</w:t>
      </w:r>
      <w:proofErr w:type="gramEnd"/>
      <w:r w:rsidRPr="006C5175">
        <w:rPr>
          <w:rFonts w:eastAsia="Times New Roman"/>
          <w:b/>
          <w:bCs/>
          <w:color w:val="FF0000"/>
          <w:lang w:eastAsia="ru-RU"/>
        </w:rPr>
        <w:t xml:space="preserve">! Необходимо привести все расчеты получения бальной и комплексной </w:t>
      </w:r>
      <w:proofErr w:type="gramStart"/>
      <w:r w:rsidRPr="006C5175">
        <w:rPr>
          <w:rFonts w:eastAsia="Times New Roman"/>
          <w:b/>
          <w:bCs/>
          <w:color w:val="FF0000"/>
          <w:lang w:eastAsia="ru-RU"/>
        </w:rPr>
        <w:t>оценки )</w:t>
      </w:r>
      <w:proofErr w:type="gramEnd"/>
    </w:p>
    <w:p w:rsidR="006C5175" w:rsidRPr="006C5175" w:rsidRDefault="006C5175" w:rsidP="006C5175">
      <w:pPr>
        <w:spacing w:after="30" w:line="240" w:lineRule="auto"/>
        <w:ind w:left="150" w:right="150" w:firstLine="567"/>
        <w:rPr>
          <w:rFonts w:eastAsia="Times New Roman"/>
          <w:lang w:eastAsia="ru-RU"/>
        </w:rPr>
      </w:pPr>
      <w:r w:rsidRPr="006C5175">
        <w:rPr>
          <w:rFonts w:eastAsia="Times New Roman"/>
          <w:b/>
          <w:bCs/>
          <w:lang w:eastAsia="ru-RU"/>
        </w:rPr>
        <w:t>Вывод: </w:t>
      </w:r>
      <w:r w:rsidRPr="006C5175">
        <w:rPr>
          <w:rFonts w:eastAsia="Times New Roman"/>
          <w:lang w:eastAsia="ru-RU"/>
        </w:rPr>
        <w:t>используя второй подход лучшим вариантом из альтернативных будет вариант A</w:t>
      </w:r>
      <w:r w:rsidRPr="006C5175">
        <w:rPr>
          <w:rFonts w:eastAsia="Times New Roman"/>
          <w:vertAlign w:val="subscript"/>
          <w:lang w:eastAsia="ru-RU"/>
        </w:rPr>
        <w:t>4</w:t>
      </w:r>
      <w:r w:rsidRPr="006C5175">
        <w:rPr>
          <w:rFonts w:eastAsia="Times New Roman"/>
          <w:lang w:eastAsia="ru-RU"/>
        </w:rPr>
        <w:t>, так как он имеет наибольшую комплексную оценку. Далее идут варианты A</w:t>
      </w:r>
      <w:r w:rsidRPr="006C5175">
        <w:rPr>
          <w:rFonts w:eastAsia="Times New Roman"/>
          <w:vertAlign w:val="subscript"/>
          <w:lang w:eastAsia="ru-RU"/>
        </w:rPr>
        <w:t>3</w:t>
      </w:r>
      <w:r w:rsidRPr="006C5175">
        <w:rPr>
          <w:rFonts w:eastAsia="Times New Roman"/>
          <w:lang w:eastAsia="ru-RU"/>
        </w:rPr>
        <w:t>, A</w:t>
      </w:r>
      <w:r w:rsidRPr="006C5175">
        <w:rPr>
          <w:rFonts w:eastAsia="Times New Roman"/>
          <w:vertAlign w:val="subscript"/>
          <w:lang w:eastAsia="ru-RU"/>
        </w:rPr>
        <w:t>2</w:t>
      </w:r>
      <w:r w:rsidRPr="006C5175">
        <w:rPr>
          <w:rFonts w:eastAsia="Times New Roman"/>
          <w:lang w:eastAsia="ru-RU"/>
        </w:rPr>
        <w:t>, A</w:t>
      </w:r>
      <w:r w:rsidRPr="006C5175">
        <w:rPr>
          <w:rFonts w:eastAsia="Times New Roman"/>
          <w:vertAlign w:val="subscript"/>
          <w:lang w:eastAsia="ru-RU"/>
        </w:rPr>
        <w:t>1</w:t>
      </w:r>
      <w:r w:rsidRPr="006C5175">
        <w:rPr>
          <w:rFonts w:eastAsia="Times New Roman"/>
          <w:lang w:eastAsia="ru-RU"/>
        </w:rPr>
        <w:t>.</w:t>
      </w:r>
    </w:p>
    <w:p w:rsidR="006C5175" w:rsidRPr="006C5175" w:rsidRDefault="006C5175" w:rsidP="006C5175">
      <w:pPr>
        <w:spacing w:after="0" w:line="240" w:lineRule="auto"/>
        <w:jc w:val="right"/>
        <w:outlineLvl w:val="3"/>
        <w:rPr>
          <w:rFonts w:eastAsia="Times New Roman"/>
          <w:color w:val="1B1E9C"/>
          <w:sz w:val="15"/>
          <w:szCs w:val="15"/>
          <w:lang w:eastAsia="ru-RU"/>
        </w:rPr>
      </w:pPr>
      <w:hyperlink r:id="rId5" w:tgtFrame="_blank" w:history="1">
        <w:r w:rsidRPr="006C5175">
          <w:rPr>
            <w:rFonts w:eastAsia="Times New Roman"/>
            <w:color w:val="000099"/>
            <w:sz w:val="15"/>
            <w:szCs w:val="15"/>
            <w:u w:val="single"/>
            <w:lang w:eastAsia="ru-RU"/>
          </w:rPr>
          <w:t xml:space="preserve">©2008-2019, Интернет-институт </w:t>
        </w:r>
        <w:proofErr w:type="spellStart"/>
        <w:r w:rsidRPr="006C5175">
          <w:rPr>
            <w:rFonts w:eastAsia="Times New Roman"/>
            <w:color w:val="000099"/>
            <w:sz w:val="15"/>
            <w:szCs w:val="15"/>
            <w:u w:val="single"/>
            <w:lang w:eastAsia="ru-RU"/>
          </w:rPr>
          <w:t>ТулГУ</w:t>
        </w:r>
        <w:proofErr w:type="spellEnd"/>
      </w:hyperlink>
    </w:p>
    <w:p w:rsidR="000E19CA" w:rsidRDefault="000E19CA">
      <w:bookmarkStart w:id="0" w:name="_GoBack"/>
      <w:bookmarkEnd w:id="0"/>
    </w:p>
    <w:sectPr w:rsidR="000E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C12C6"/>
    <w:multiLevelType w:val="multilevel"/>
    <w:tmpl w:val="CDD8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A4784"/>
    <w:multiLevelType w:val="multilevel"/>
    <w:tmpl w:val="BE820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75"/>
    <w:rsid w:val="000E19CA"/>
    <w:rsid w:val="006C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62DA9-9512-4F71-939D-BF6DBA68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-institute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1335</Words>
  <Characters>7615</Characters>
  <Application>Microsoft Office Word</Application>
  <DocSecurity>0</DocSecurity>
  <Lines>63</Lines>
  <Paragraphs>17</Paragraphs>
  <ScaleCrop>false</ScaleCrop>
  <Company/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2019-12-28T13:35:00Z</dcterms:created>
  <dcterms:modified xsi:type="dcterms:W3CDTF">2019-12-28T13:36:00Z</dcterms:modified>
</cp:coreProperties>
</file>