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E5" w:rsidRDefault="00DA55E5" w:rsidP="00DA55E5">
      <w:pPr>
        <w:pStyle w:val="a4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DA55E5" w:rsidRDefault="00DA55E5" w:rsidP="00DA55E5">
      <w:pPr>
        <w:pStyle w:val="a4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для группы ЭЭЗ-271с</w:t>
      </w:r>
    </w:p>
    <w:p w:rsidR="00DA55E5" w:rsidRDefault="00DA55E5" w:rsidP="00DA55E5">
      <w:pPr>
        <w:pStyle w:val="a4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 предмету «</w:t>
      </w:r>
      <w:r w:rsidRPr="00DA55E5">
        <w:rPr>
          <w:b/>
          <w:szCs w:val="28"/>
          <w:u w:val="single"/>
        </w:rPr>
        <w:t>Приемники и потребители электрической энергии</w:t>
      </w:r>
      <w:r>
        <w:rPr>
          <w:b/>
          <w:szCs w:val="28"/>
        </w:rPr>
        <w:t>»</w:t>
      </w:r>
    </w:p>
    <w:p w:rsidR="00DA55E5" w:rsidRDefault="00DA55E5" w:rsidP="00DA55E5">
      <w:pPr>
        <w:pStyle w:val="a4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</w:t>
      </w:r>
      <w:r w:rsidRPr="002B630E">
        <w:rPr>
          <w:b/>
          <w:szCs w:val="28"/>
        </w:rPr>
        <w:t xml:space="preserve"> работа</w:t>
      </w:r>
    </w:p>
    <w:p w:rsidR="00DA55E5" w:rsidRPr="002B7CA7" w:rsidRDefault="00DA55E5" w:rsidP="00DA55E5">
      <w:pPr>
        <w:pStyle w:val="a7"/>
        <w:spacing w:before="0" w:beforeAutospacing="0" w:after="0" w:afterAutospacing="0" w:line="276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Семестровую работу необходимо выполнить на листах формата А4, </w:t>
      </w:r>
      <w:r>
        <w:rPr>
          <w:color w:val="000000"/>
          <w:sz w:val="28"/>
          <w:szCs w:val="28"/>
          <w:lang w:val="en-US"/>
        </w:rPr>
        <w:t>Times</w:t>
      </w:r>
      <w:r w:rsidRPr="00012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012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кегль – 14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; выравнивание основного текста – по ширине; межстрочный интервал – 1,5; абзац – отступ 1,25; слева – 2см; справа – 1,5см; снизу и сверху – 1см; нумерация страниц по центру – </w:t>
      </w:r>
      <w:r>
        <w:rPr>
          <w:color w:val="000000"/>
          <w:sz w:val="28"/>
          <w:szCs w:val="28"/>
          <w:lang w:val="en-US"/>
        </w:rPr>
        <w:t>Times</w:t>
      </w:r>
      <w:r w:rsidRPr="00012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012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12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, первая страница (титульный лист) не нумеруется. Все латинские буквы по тексту и в формулах выделяются </w:t>
      </w:r>
      <w:r w:rsidRPr="00794FB8">
        <w:rPr>
          <w:i/>
          <w:color w:val="000000"/>
          <w:sz w:val="28"/>
          <w:szCs w:val="28"/>
        </w:rPr>
        <w:t>курсивом</w:t>
      </w:r>
      <w:r>
        <w:rPr>
          <w:color w:val="000000"/>
          <w:sz w:val="28"/>
          <w:szCs w:val="28"/>
        </w:rPr>
        <w:t xml:space="preserve">. </w:t>
      </w:r>
      <w:r w:rsidRPr="002B7CA7">
        <w:rPr>
          <w:sz w:val="28"/>
          <w:szCs w:val="28"/>
        </w:rPr>
        <w:t>Пример оформления семестровой работы приведен в приложении 4.</w:t>
      </w:r>
    </w:p>
    <w:p w:rsidR="00DA55E5" w:rsidRPr="002B7CA7" w:rsidRDefault="00DA55E5" w:rsidP="00DA55E5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Cs w:val="28"/>
        </w:rPr>
      </w:pPr>
      <w:r w:rsidRPr="002B7CA7">
        <w:rPr>
          <w:szCs w:val="28"/>
        </w:rPr>
        <w:t>Ответить на вопрос (объем 3-5 листов). Тема вопроса выбирается из Приложения 1, вариант – по списку группы.</w:t>
      </w:r>
    </w:p>
    <w:p w:rsidR="00DA55E5" w:rsidRPr="002B7CA7" w:rsidRDefault="00DA55E5" w:rsidP="00DA55E5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Cs w:val="28"/>
        </w:rPr>
      </w:pPr>
      <w:r w:rsidRPr="002B7CA7">
        <w:rPr>
          <w:szCs w:val="28"/>
        </w:rPr>
        <w:t xml:space="preserve">Составить таблицу из 5 </w:t>
      </w:r>
      <w:r>
        <w:rPr>
          <w:szCs w:val="28"/>
        </w:rPr>
        <w:t>потребителей</w:t>
      </w:r>
      <w:r w:rsidRPr="002B7CA7">
        <w:rPr>
          <w:szCs w:val="28"/>
        </w:rPr>
        <w:t xml:space="preserve"> э/э (2 бытовых прибора, 1 электродвигатель, 1 сварочный аппарат, 1 станок). Каждый студент сам себе выбирает тип бытовых приборов и станков, марки электродвигателей и сварочных аппаратов. Питающее напряжение </w:t>
      </w:r>
      <w:r w:rsidRPr="002B7CA7">
        <w:rPr>
          <w:i/>
          <w:szCs w:val="28"/>
          <w:lang w:val="en-US"/>
        </w:rPr>
        <w:t>U</w:t>
      </w:r>
      <w:r w:rsidRPr="00DA55E5">
        <w:rPr>
          <w:szCs w:val="28"/>
        </w:rPr>
        <w:t>=</w:t>
      </w:r>
      <w:r>
        <w:rPr>
          <w:szCs w:val="28"/>
        </w:rPr>
        <w:t xml:space="preserve">220 В – для четных вариантов и </w:t>
      </w:r>
      <w:r w:rsidRPr="002B7CA7">
        <w:rPr>
          <w:i/>
          <w:szCs w:val="28"/>
          <w:lang w:val="en-US"/>
        </w:rPr>
        <w:t>U</w:t>
      </w:r>
      <w:r w:rsidRPr="00DA55E5">
        <w:rPr>
          <w:szCs w:val="28"/>
        </w:rPr>
        <w:t>=</w:t>
      </w:r>
      <w:r>
        <w:rPr>
          <w:szCs w:val="28"/>
        </w:rPr>
        <w:t>380 В – для нечетных вариантов.</w:t>
      </w:r>
    </w:p>
    <w:p w:rsidR="00DA55E5" w:rsidRPr="002B7CA7" w:rsidRDefault="00DA55E5" w:rsidP="00DA55E5">
      <w:pPr>
        <w:jc w:val="both"/>
        <w:rPr>
          <w:szCs w:val="28"/>
        </w:rPr>
      </w:pPr>
      <w:r w:rsidRPr="002B7CA7">
        <w:rPr>
          <w:szCs w:val="28"/>
        </w:rPr>
        <w:t xml:space="preserve">Таблица 1 – Характеристики </w:t>
      </w:r>
      <w:r>
        <w:rPr>
          <w:szCs w:val="28"/>
        </w:rPr>
        <w:t>потребителей</w:t>
      </w:r>
      <w:r w:rsidRPr="002B7CA7">
        <w:rPr>
          <w:szCs w:val="28"/>
        </w:rPr>
        <w:t xml:space="preserve"> э/э (</w:t>
      </w:r>
      <w:r w:rsidRPr="002B7CA7">
        <w:rPr>
          <w:i/>
          <w:szCs w:val="28"/>
        </w:rPr>
        <w:t>Пример</w:t>
      </w:r>
      <w:r w:rsidRPr="002B7CA7">
        <w:rPr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7"/>
        <w:gridCol w:w="1661"/>
        <w:gridCol w:w="1879"/>
        <w:gridCol w:w="1461"/>
        <w:gridCol w:w="2253"/>
      </w:tblGrid>
      <w:tr w:rsidR="00DA55E5" w:rsidRPr="002B7CA7" w:rsidTr="001D4B06">
        <w:tc>
          <w:tcPr>
            <w:tcW w:w="2159" w:type="dxa"/>
            <w:vAlign w:val="center"/>
          </w:tcPr>
          <w:p w:rsidR="00DA55E5" w:rsidRPr="002B7CA7" w:rsidRDefault="00DA55E5" w:rsidP="001D4B0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Тип потребителя</w:t>
            </w:r>
          </w:p>
        </w:tc>
        <w:tc>
          <w:tcPr>
            <w:tcW w:w="1918" w:type="dxa"/>
            <w:vAlign w:val="center"/>
          </w:tcPr>
          <w:p w:rsidR="00DA55E5" w:rsidRPr="002B7CA7" w:rsidRDefault="00DA55E5" w:rsidP="001D4B06">
            <w:pPr>
              <w:spacing w:line="276" w:lineRule="auto"/>
              <w:jc w:val="center"/>
              <w:rPr>
                <w:szCs w:val="28"/>
              </w:rPr>
            </w:pPr>
            <w:r w:rsidRPr="002B7CA7">
              <w:rPr>
                <w:szCs w:val="28"/>
              </w:rPr>
              <w:t>Марка</w:t>
            </w:r>
          </w:p>
        </w:tc>
        <w:tc>
          <w:tcPr>
            <w:tcW w:w="2030" w:type="dxa"/>
            <w:vAlign w:val="center"/>
          </w:tcPr>
          <w:p w:rsidR="00DA55E5" w:rsidRPr="002B7CA7" w:rsidRDefault="00DA55E5" w:rsidP="001D4B06">
            <w:pPr>
              <w:spacing w:line="276" w:lineRule="auto"/>
              <w:jc w:val="center"/>
              <w:rPr>
                <w:szCs w:val="28"/>
              </w:rPr>
            </w:pPr>
            <w:r w:rsidRPr="002B7CA7">
              <w:rPr>
                <w:szCs w:val="28"/>
              </w:rPr>
              <w:t>Мощность</w:t>
            </w:r>
          </w:p>
        </w:tc>
        <w:tc>
          <w:tcPr>
            <w:tcW w:w="1732" w:type="dxa"/>
            <w:vAlign w:val="center"/>
          </w:tcPr>
          <w:p w:rsidR="00DA55E5" w:rsidRPr="002B7CA7" w:rsidRDefault="00DA55E5" w:rsidP="001D4B06">
            <w:pPr>
              <w:spacing w:line="276" w:lineRule="auto"/>
              <w:jc w:val="center"/>
              <w:rPr>
                <w:szCs w:val="28"/>
                <w:lang w:val="en-US"/>
              </w:rPr>
            </w:pPr>
            <w:proofErr w:type="spellStart"/>
            <w:r w:rsidRPr="002B7CA7">
              <w:rPr>
                <w:i/>
                <w:szCs w:val="28"/>
                <w:lang w:val="en-US"/>
              </w:rPr>
              <w:t>cos</w:t>
            </w:r>
            <w:r w:rsidRPr="002B7CA7">
              <w:rPr>
                <w:szCs w:val="28"/>
                <w:lang w:val="en-US"/>
              </w:rPr>
              <w:t>φ</w:t>
            </w:r>
            <w:proofErr w:type="spellEnd"/>
          </w:p>
        </w:tc>
        <w:tc>
          <w:tcPr>
            <w:tcW w:w="1732" w:type="dxa"/>
            <w:vAlign w:val="center"/>
          </w:tcPr>
          <w:p w:rsidR="00DA55E5" w:rsidRPr="002B7CA7" w:rsidRDefault="00DA55E5" w:rsidP="001D4B06">
            <w:pPr>
              <w:spacing w:line="276" w:lineRule="auto"/>
              <w:jc w:val="center"/>
              <w:rPr>
                <w:szCs w:val="28"/>
              </w:rPr>
            </w:pPr>
            <w:r w:rsidRPr="002B7CA7">
              <w:rPr>
                <w:szCs w:val="28"/>
              </w:rPr>
              <w:t xml:space="preserve">Дополнительные характеристики </w:t>
            </w:r>
            <w:r w:rsidRPr="002B7CA7">
              <w:rPr>
                <w:i/>
                <w:szCs w:val="28"/>
              </w:rPr>
              <w:t>(напр.: КПД для двигателей)</w:t>
            </w:r>
          </w:p>
        </w:tc>
      </w:tr>
      <w:tr w:rsidR="00DA55E5" w:rsidRPr="002B7CA7" w:rsidTr="001D4B06">
        <w:tc>
          <w:tcPr>
            <w:tcW w:w="2159" w:type="dxa"/>
          </w:tcPr>
          <w:p w:rsidR="00DA55E5" w:rsidRPr="002B7CA7" w:rsidRDefault="00DA55E5" w:rsidP="001D4B06">
            <w:pPr>
              <w:spacing w:line="276" w:lineRule="auto"/>
              <w:jc w:val="both"/>
              <w:rPr>
                <w:szCs w:val="28"/>
              </w:rPr>
            </w:pPr>
            <w:r w:rsidRPr="002B7CA7">
              <w:rPr>
                <w:szCs w:val="28"/>
              </w:rPr>
              <w:t>Холодильник</w:t>
            </w:r>
          </w:p>
        </w:tc>
        <w:tc>
          <w:tcPr>
            <w:tcW w:w="1918" w:type="dxa"/>
          </w:tcPr>
          <w:p w:rsidR="00DA55E5" w:rsidRPr="002B7CA7" w:rsidRDefault="00DA55E5" w:rsidP="001D4B0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030" w:type="dxa"/>
          </w:tcPr>
          <w:p w:rsidR="00DA55E5" w:rsidRPr="002B7CA7" w:rsidRDefault="00DA55E5" w:rsidP="001D4B0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A55E5" w:rsidRPr="002B7CA7" w:rsidTr="001D4B06">
        <w:tc>
          <w:tcPr>
            <w:tcW w:w="2159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  <w:r w:rsidRPr="002B7CA7">
              <w:rPr>
                <w:szCs w:val="28"/>
              </w:rPr>
              <w:t>Чайник электрический</w:t>
            </w:r>
          </w:p>
        </w:tc>
        <w:tc>
          <w:tcPr>
            <w:tcW w:w="1918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2030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</w:tr>
      <w:tr w:rsidR="00DA55E5" w:rsidRPr="002B7CA7" w:rsidTr="001D4B06">
        <w:tc>
          <w:tcPr>
            <w:tcW w:w="2159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  <w:r w:rsidRPr="002B7CA7">
              <w:rPr>
                <w:szCs w:val="28"/>
              </w:rPr>
              <w:t>Асинхронный электродвигатель</w:t>
            </w:r>
          </w:p>
        </w:tc>
        <w:tc>
          <w:tcPr>
            <w:tcW w:w="1918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2030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</w:tr>
      <w:tr w:rsidR="00DA55E5" w:rsidRPr="002B7CA7" w:rsidTr="001D4B06">
        <w:tc>
          <w:tcPr>
            <w:tcW w:w="2159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  <w:r w:rsidRPr="002B7CA7">
              <w:rPr>
                <w:szCs w:val="28"/>
              </w:rPr>
              <w:t>Сварочный аппарат</w:t>
            </w:r>
          </w:p>
        </w:tc>
        <w:tc>
          <w:tcPr>
            <w:tcW w:w="1918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2030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</w:tr>
      <w:tr w:rsidR="00DA55E5" w:rsidRPr="002B7CA7" w:rsidTr="001D4B06">
        <w:tc>
          <w:tcPr>
            <w:tcW w:w="2159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  <w:r w:rsidRPr="002B7CA7">
              <w:rPr>
                <w:szCs w:val="28"/>
              </w:rPr>
              <w:t>Сверлильный станок</w:t>
            </w:r>
          </w:p>
        </w:tc>
        <w:tc>
          <w:tcPr>
            <w:tcW w:w="1918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2030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  <w:tc>
          <w:tcPr>
            <w:tcW w:w="1732" w:type="dxa"/>
          </w:tcPr>
          <w:p w:rsidR="00DA55E5" w:rsidRPr="002B7CA7" w:rsidRDefault="00DA55E5" w:rsidP="001D4B06">
            <w:pPr>
              <w:spacing w:line="276" w:lineRule="auto"/>
              <w:rPr>
                <w:szCs w:val="28"/>
              </w:rPr>
            </w:pPr>
          </w:p>
        </w:tc>
      </w:tr>
    </w:tbl>
    <w:p w:rsidR="00DA55E5" w:rsidRPr="002B7CA7" w:rsidRDefault="00DA55E5" w:rsidP="00DA55E5">
      <w:pPr>
        <w:rPr>
          <w:szCs w:val="28"/>
        </w:rPr>
      </w:pPr>
    </w:p>
    <w:p w:rsidR="00DA55E5" w:rsidRDefault="00DA55E5" w:rsidP="00DA55E5">
      <w:pPr>
        <w:pStyle w:val="a3"/>
        <w:numPr>
          <w:ilvl w:val="0"/>
          <w:numId w:val="1"/>
        </w:numPr>
        <w:spacing w:after="200" w:line="276" w:lineRule="auto"/>
        <w:ind w:left="720"/>
        <w:rPr>
          <w:szCs w:val="28"/>
        </w:rPr>
      </w:pPr>
      <w:r w:rsidRPr="002B7CA7">
        <w:rPr>
          <w:szCs w:val="28"/>
        </w:rPr>
        <w:t>Произвести расчет для каждого приемника расчетного  тока</w:t>
      </w:r>
      <w:r>
        <w:rPr>
          <w:szCs w:val="28"/>
        </w:rPr>
        <w:t xml:space="preserve"> </w:t>
      </w:r>
    </w:p>
    <w:p w:rsidR="00DA55E5" w:rsidRDefault="00DA55E5" w:rsidP="00DA55E5">
      <w:pPr>
        <w:pStyle w:val="a3"/>
        <w:rPr>
          <w:szCs w:val="28"/>
        </w:rPr>
      </w:pPr>
    </w:p>
    <w:p w:rsidR="00DA55E5" w:rsidRPr="00971E7A" w:rsidRDefault="00DA55E5" w:rsidP="00DA55E5">
      <w:pPr>
        <w:pStyle w:val="a3"/>
        <w:rPr>
          <w:szCs w:val="28"/>
        </w:rPr>
      </w:pPr>
      <w:r w:rsidRPr="00971E7A">
        <w:rPr>
          <w:szCs w:val="28"/>
        </w:rPr>
        <w:t>для сети выше 220 В</w:t>
      </w:r>
    </w:p>
    <w:p w:rsidR="00DA55E5" w:rsidRDefault="002652A2" w:rsidP="00DA55E5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/>
                  <w:szCs w:val="28"/>
                </w:rPr>
                <m:t>р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н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cosφ</m:t>
              </m:r>
            </m:den>
          </m:f>
          <m:r>
            <w:rPr>
              <w:rFonts w:ascii="Cambria Math" w:eastAsiaTheme="minorEastAsia"/>
              <w:szCs w:val="28"/>
            </w:rPr>
            <m:t xml:space="preserve">, </m:t>
          </m:r>
          <m:r>
            <w:rPr>
              <w:rFonts w:ascii="Cambria Math" w:eastAsiaTheme="minorEastAsia"/>
              <w:szCs w:val="28"/>
            </w:rPr>
            <m:t>А</m:t>
          </m:r>
        </m:oMath>
      </m:oMathPara>
    </w:p>
    <w:p w:rsidR="00DA55E5" w:rsidRPr="002B7CA7" w:rsidRDefault="00DA55E5" w:rsidP="00DA55E5">
      <w:pPr>
        <w:pStyle w:val="a3"/>
        <w:rPr>
          <w:szCs w:val="28"/>
        </w:rPr>
      </w:pPr>
      <w:r>
        <w:rPr>
          <w:szCs w:val="28"/>
        </w:rPr>
        <w:t>для сети 220 В</w:t>
      </w:r>
    </w:p>
    <w:p w:rsidR="00DA55E5" w:rsidRPr="002B7CA7" w:rsidRDefault="002652A2" w:rsidP="00DA55E5">
      <w:pPr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/>
                  <w:szCs w:val="28"/>
                </w:rPr>
                <m:t>р</m:t>
              </m:r>
            </m:sub>
          </m:sSub>
          <m:r>
            <w:rPr>
              <w:rFonts w:asci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U∙cosφ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 xml:space="preserve">, </m:t>
          </m:r>
          <m:r>
            <w:rPr>
              <w:rFonts w:ascii="Cambria Math" w:eastAsiaTheme="minorEastAsia"/>
              <w:szCs w:val="28"/>
              <w:lang w:val="en-US"/>
            </w:rPr>
            <m:t>А</m:t>
          </m:r>
        </m:oMath>
      </m:oMathPara>
    </w:p>
    <w:p w:rsidR="00DA55E5" w:rsidRPr="00971E7A" w:rsidRDefault="00DA55E5" w:rsidP="00DA55E5">
      <w:pPr>
        <w:rPr>
          <w:rFonts w:eastAsiaTheme="minorEastAsia"/>
          <w:szCs w:val="28"/>
        </w:rPr>
      </w:pPr>
    </w:p>
    <w:p w:rsidR="00DA55E5" w:rsidRPr="002B7CA7" w:rsidRDefault="00DA55E5" w:rsidP="00DA55E5">
      <w:pPr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ab/>
        <w:t>для электродвигателей:</w:t>
      </w:r>
    </w:p>
    <w:p w:rsidR="00DA55E5" w:rsidRPr="002B7CA7" w:rsidRDefault="002652A2" w:rsidP="00DA55E5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/>
                  <w:szCs w:val="28"/>
                </w:rPr>
                <m:t>р</m:t>
              </m:r>
            </m:sub>
          </m:sSub>
          <m:r>
            <w:rPr>
              <w:rFonts w:asci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н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28"/>
                  <w:lang w:val="en-US"/>
                </w:rPr>
                <m:t>∙U∙cosφ∙η</m:t>
              </m:r>
            </m:den>
          </m:f>
          <m:r>
            <w:rPr>
              <w:rFonts w:ascii="Cambria Math"/>
              <w:szCs w:val="28"/>
              <w:lang w:val="en-US"/>
            </w:rPr>
            <m:t xml:space="preserve">, </m:t>
          </m:r>
          <m:r>
            <w:rPr>
              <w:rFonts w:ascii="Cambria Math"/>
              <w:szCs w:val="28"/>
              <w:lang w:val="en-US"/>
            </w:rPr>
            <m:t>А</m:t>
          </m:r>
        </m:oMath>
      </m:oMathPara>
    </w:p>
    <w:p w:rsidR="00DA55E5" w:rsidRPr="002B7CA7" w:rsidRDefault="00DA55E5" w:rsidP="00DA55E5">
      <w:pPr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 xml:space="preserve">где </w:t>
      </w:r>
      <m:oMath>
        <m:r>
          <w:rPr>
            <w:rFonts w:ascii="Cambria Math" w:hAnsi="Cambria Math"/>
            <w:szCs w:val="28"/>
            <w:lang w:val="en-US"/>
          </w:rPr>
          <m:t>P</m:t>
        </m:r>
      </m:oMath>
      <w:r w:rsidRPr="002B7CA7">
        <w:rPr>
          <w:rFonts w:eastAsiaTheme="minorEastAsia"/>
          <w:szCs w:val="28"/>
        </w:rPr>
        <w:t xml:space="preserve"> – мощность приемника, Вт</w:t>
      </w:r>
    </w:p>
    <w:p w:rsidR="00DA55E5" w:rsidRPr="002B7CA7" w:rsidRDefault="00DA55E5" w:rsidP="00DA55E5">
      <w:pPr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U</m:t>
        </m:r>
      </m:oMath>
      <w:r w:rsidRPr="002B7CA7">
        <w:rPr>
          <w:rFonts w:eastAsiaTheme="minorEastAsia"/>
          <w:szCs w:val="28"/>
        </w:rPr>
        <w:t xml:space="preserve"> - питающее напряжение, В</w:t>
      </w:r>
    </w:p>
    <w:p w:rsidR="00DA55E5" w:rsidRPr="002B7CA7" w:rsidRDefault="00DA55E5" w:rsidP="00DA55E5">
      <w:pPr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cosφ</m:t>
        </m:r>
      </m:oMath>
      <w:r w:rsidRPr="002B7CA7">
        <w:rPr>
          <w:rFonts w:eastAsiaTheme="minorEastAsia"/>
          <w:szCs w:val="28"/>
        </w:rPr>
        <w:t xml:space="preserve"> – коэффициент мощности</w:t>
      </w:r>
    </w:p>
    <w:p w:rsidR="00DA55E5" w:rsidRPr="002B7CA7" w:rsidRDefault="00DA55E5" w:rsidP="00DA55E5">
      <w:pPr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η</m:t>
        </m:r>
      </m:oMath>
      <w:r w:rsidRPr="002B7CA7">
        <w:rPr>
          <w:rFonts w:eastAsiaTheme="minorEastAsia"/>
          <w:szCs w:val="28"/>
        </w:rPr>
        <w:t xml:space="preserve"> - КПД двигателя</w:t>
      </w:r>
    </w:p>
    <w:p w:rsidR="00DA55E5" w:rsidRPr="002B7CA7" w:rsidRDefault="00DA55E5" w:rsidP="00DA55E5">
      <w:pPr>
        <w:pStyle w:val="a3"/>
        <w:numPr>
          <w:ilvl w:val="0"/>
          <w:numId w:val="3"/>
        </w:numPr>
        <w:spacing w:after="200" w:line="276" w:lineRule="auto"/>
        <w:ind w:left="0" w:firstLine="360"/>
        <w:jc w:val="both"/>
        <w:rPr>
          <w:szCs w:val="28"/>
        </w:rPr>
      </w:pPr>
      <w:r w:rsidRPr="002B7CA7">
        <w:rPr>
          <w:szCs w:val="28"/>
        </w:rPr>
        <w:t>По расчетному току для каждого потребителя</w:t>
      </w:r>
      <w:r>
        <w:rPr>
          <w:szCs w:val="28"/>
        </w:rPr>
        <w:t xml:space="preserve"> необходимо</w:t>
      </w:r>
      <w:r w:rsidRPr="002B7CA7">
        <w:rPr>
          <w:szCs w:val="28"/>
        </w:rPr>
        <w:t xml:space="preserve"> выбрать автоматический выключатель (</w:t>
      </w:r>
      <w:proofErr w:type="spellStart"/>
      <w:r w:rsidRPr="002B7CA7">
        <w:rPr>
          <w:szCs w:val="28"/>
        </w:rPr>
        <w:t>Шеховцов</w:t>
      </w:r>
      <w:proofErr w:type="spellEnd"/>
      <w:r w:rsidRPr="002B7CA7">
        <w:rPr>
          <w:szCs w:val="28"/>
        </w:rPr>
        <w:t xml:space="preserve"> В.П. Справочное пособие по электрооборудованию и электроснабжению, таблица 2.1.1) и проверить его.</w:t>
      </w:r>
    </w:p>
    <w:p w:rsidR="00DA55E5" w:rsidRPr="002B7CA7" w:rsidRDefault="00DA55E5" w:rsidP="00DA55E5">
      <w:pPr>
        <w:pStyle w:val="a3"/>
        <w:numPr>
          <w:ilvl w:val="0"/>
          <w:numId w:val="3"/>
        </w:numPr>
        <w:spacing w:after="200" w:line="276" w:lineRule="auto"/>
        <w:ind w:left="0" w:firstLine="360"/>
        <w:jc w:val="both"/>
        <w:rPr>
          <w:szCs w:val="28"/>
        </w:rPr>
      </w:pPr>
      <w:r w:rsidRPr="002B7CA7">
        <w:rPr>
          <w:szCs w:val="28"/>
        </w:rPr>
        <w:t>Выбрать для каждого потребителя провод (приложение 3)</w:t>
      </w:r>
      <w:r>
        <w:rPr>
          <w:szCs w:val="28"/>
        </w:rPr>
        <w:t>.</w:t>
      </w:r>
    </w:p>
    <w:p w:rsidR="00DA55E5" w:rsidRPr="002B7CA7" w:rsidRDefault="00DA55E5" w:rsidP="00DA55E5">
      <w:pPr>
        <w:pStyle w:val="a3"/>
        <w:numPr>
          <w:ilvl w:val="0"/>
          <w:numId w:val="3"/>
        </w:numPr>
        <w:spacing w:after="200" w:line="276" w:lineRule="auto"/>
        <w:ind w:left="0" w:firstLine="360"/>
        <w:jc w:val="both"/>
        <w:rPr>
          <w:szCs w:val="28"/>
        </w:rPr>
      </w:pPr>
      <w:r w:rsidRPr="002B7CA7">
        <w:rPr>
          <w:szCs w:val="28"/>
        </w:rPr>
        <w:t xml:space="preserve">Рассчитать расчетный ток для группы ваших потребителей и по этому току выбрать вводной автоматический выключатель  и проверить его.  </w:t>
      </w:r>
    </w:p>
    <w:p w:rsidR="00DA55E5" w:rsidRPr="002B7CA7" w:rsidRDefault="00DA55E5" w:rsidP="00DA55E5">
      <w:pPr>
        <w:rPr>
          <w:i/>
          <w:szCs w:val="28"/>
        </w:rPr>
      </w:pPr>
      <w:r w:rsidRPr="002B7CA7">
        <w:rPr>
          <w:i/>
          <w:szCs w:val="28"/>
        </w:rPr>
        <w:t>Пример выбора и проверки автоматического выключателя и провода:</w:t>
      </w:r>
    </w:p>
    <w:p w:rsidR="00DA55E5" w:rsidRPr="002B7CA7" w:rsidRDefault="00DA55E5" w:rsidP="00DA55E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szCs w:val="28"/>
        </w:rPr>
      </w:pPr>
      <w:r w:rsidRPr="002B7CA7">
        <w:rPr>
          <w:szCs w:val="28"/>
        </w:rPr>
        <w:t xml:space="preserve">Отопительный котел: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р</m:t>
            </m:r>
          </m:sub>
        </m:sSub>
        <m:r>
          <w:rPr>
            <w:rFonts w:ascii="Cambria Math"/>
            <w:szCs w:val="28"/>
          </w:rPr>
          <m:t xml:space="preserve">=23,62 </m:t>
        </m:r>
        <m:r>
          <w:rPr>
            <w:rFonts w:ascii="Cambria Math"/>
            <w:szCs w:val="28"/>
          </w:rPr>
          <m:t>А</m:t>
        </m:r>
      </m:oMath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ab/>
        <w:t xml:space="preserve">Выбираем ВА 51-25: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н</m:t>
            </m:r>
          </m:sub>
        </m:sSub>
        <m:r>
          <w:rPr>
            <w:rFonts w:ascii="Cambria Math"/>
            <w:szCs w:val="28"/>
          </w:rPr>
          <m:t xml:space="preserve">=25 </m:t>
        </m:r>
        <m:r>
          <w:rPr>
            <w:rFonts w:ascii="Cambria Math"/>
            <w:szCs w:val="28"/>
          </w:rPr>
          <m:t>А</m:t>
        </m:r>
        <m:r>
          <w:rPr>
            <w:rFonts w:asci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н</m:t>
            </m:r>
            <m:r>
              <w:rPr>
                <w:rFonts w:ascii="Cambria Math"/>
                <w:szCs w:val="28"/>
              </w:rPr>
              <m:t>.</m:t>
            </m:r>
            <m:r>
              <w:rPr>
                <w:rFonts w:ascii="Cambria Math"/>
                <w:szCs w:val="28"/>
              </w:rPr>
              <m:t>р</m:t>
            </m:r>
          </m:sub>
        </m:sSub>
        <m:r>
          <w:rPr>
            <w:rFonts w:ascii="Cambria Math"/>
            <w:szCs w:val="28"/>
          </w:rPr>
          <m:t xml:space="preserve">=25 </m:t>
        </m:r>
        <m:r>
          <w:rPr>
            <w:rFonts w:ascii="Cambria Math"/>
            <w:szCs w:val="28"/>
          </w:rPr>
          <m:t>А</m:t>
        </m:r>
        <m:r>
          <w:rPr>
            <w:rFonts w:ascii="Cambria Math"/>
            <w:szCs w:val="28"/>
          </w:rPr>
          <m:t>.</m:t>
        </m:r>
      </m:oMath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ab/>
        <w:t>Проверяем выбранный выключатель:</w:t>
      </w:r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>На соответствие токовой защиты: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 xml:space="preserve"> </m:t>
            </m:r>
            <m:r>
              <w:rPr>
                <w:rFonts w:ascii="Cambria Math"/>
                <w:szCs w:val="28"/>
              </w:rPr>
              <m:t>К</m:t>
            </m:r>
          </m:e>
          <m:sub>
            <m:r>
              <w:rPr>
                <w:rFonts w:ascii="Cambria Math"/>
                <w:szCs w:val="28"/>
              </w:rPr>
              <m:t>п</m:t>
            </m:r>
            <m:r>
              <w:rPr>
                <w:rFonts w:ascii="Cambria Math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К</m:t>
            </m:r>
          </m:e>
          <m:sub>
            <m:r>
              <w:rPr>
                <w:rFonts w:ascii="Cambria Math"/>
                <w:szCs w:val="28"/>
              </w:rPr>
              <m:t>п</m:t>
            </m:r>
            <m:r>
              <w:rPr>
                <w:rFonts w:ascii="Cambria Math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д</m:t>
            </m:r>
          </m:sub>
        </m:sSub>
        <m:r>
          <w:rPr>
            <w:rFonts w:ascii="Cambria Math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К</m:t>
            </m:r>
          </m:e>
          <m:sub>
            <m:r>
              <w:rPr>
                <w:rFonts w:ascii="Cambria Math"/>
                <w:szCs w:val="28"/>
              </w:rPr>
              <m:t>з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н</m:t>
            </m:r>
            <m:r>
              <w:rPr>
                <w:rFonts w:ascii="Cambria Math"/>
                <w:szCs w:val="28"/>
              </w:rPr>
              <m:t>.</m:t>
            </m:r>
            <m:r>
              <w:rPr>
                <w:rFonts w:ascii="Cambria Math"/>
                <w:szCs w:val="28"/>
              </w:rPr>
              <m:t>р</m:t>
            </m:r>
          </m:sub>
        </m:sSub>
        <m:r>
          <w:rPr>
            <w:rFonts w:ascii="Cambria Math"/>
            <w:szCs w:val="28"/>
          </w:rPr>
          <m:t xml:space="preserve">,  </m:t>
        </m:r>
        <m:r>
          <w:rPr>
            <w:rFonts w:ascii="Cambria Math"/>
            <w:szCs w:val="28"/>
          </w:rPr>
          <m:t>где</m:t>
        </m:r>
        <m:r>
          <w:rPr>
            <w:rFonts w:ascii="Cambria Math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К</m:t>
            </m:r>
          </m:e>
          <m:sub>
            <m:r>
              <w:rPr>
                <w:rFonts w:ascii="Cambria Math"/>
                <w:szCs w:val="28"/>
              </w:rPr>
              <m:t>п</m:t>
            </m:r>
            <m:r>
              <w:rPr>
                <w:rFonts w:ascii="Cambria Math"/>
                <w:szCs w:val="28"/>
              </w:rPr>
              <m:t>1</m:t>
            </m:r>
          </m:sub>
        </m:sSub>
        <m:r>
          <w:rPr>
            <w:rFonts w:asci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К</m:t>
            </m:r>
          </m:e>
          <m:sub>
            <m:r>
              <w:rPr>
                <w:rFonts w:ascii="Cambria Math"/>
                <w:szCs w:val="28"/>
              </w:rPr>
              <m:t>п</m:t>
            </m:r>
            <m:r>
              <w:rPr>
                <w:rFonts w:ascii="Cambria Math"/>
                <w:szCs w:val="28"/>
              </w:rPr>
              <m:t>2</m:t>
            </m:r>
          </m:sub>
        </m:sSub>
        <m:r>
          <w:rPr>
            <w:rFonts w:ascii="Cambria Math"/>
            <w:szCs w:val="28"/>
          </w:rPr>
          <m:t>=1,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/>
                <w:szCs w:val="28"/>
              </w:rPr>
              <m:t>К</m:t>
            </m:r>
          </m:e>
          <m:sub>
            <m:r>
              <w:rPr>
                <w:rFonts w:ascii="Cambria Math"/>
                <w:szCs w:val="28"/>
              </w:rPr>
              <m:t>з</m:t>
            </m:r>
          </m:sub>
        </m:sSub>
        <m:r>
          <w:rPr>
            <w:rFonts w:ascii="Cambria Math"/>
            <w:szCs w:val="28"/>
          </w:rPr>
          <m:t xml:space="preserve">=0,8  </m:t>
        </m:r>
      </m:oMath>
    </w:p>
    <w:p w:rsidR="00DA55E5" w:rsidRPr="002B7CA7" w:rsidRDefault="00DA55E5" w:rsidP="00DA55E5">
      <w:pPr>
        <w:jc w:val="both"/>
        <w:rPr>
          <w:rFonts w:eastAsiaTheme="minorEastAsia"/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Cs w:val="28"/>
            </w:rPr>
            <m:t>1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1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23,62</m:t>
          </m:r>
          <m:r>
            <w:rPr>
              <w:rFonts w:ascii="Cambria Math"/>
              <w:szCs w:val="28"/>
              <w:lang w:val="en-US"/>
            </w:rPr>
            <m:t>&gt;</m:t>
          </m:r>
          <m:r>
            <w:rPr>
              <w:rFonts w:ascii="Cambria Math"/>
              <w:szCs w:val="28"/>
            </w:rPr>
            <m:t>0,8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25</m:t>
          </m:r>
          <m:r>
            <w:rPr>
              <w:rFonts w:ascii="Cambria Math"/>
              <w:szCs w:val="28"/>
            </w:rPr>
            <m:t>→</m:t>
          </m:r>
          <m:r>
            <w:rPr>
              <w:rFonts w:ascii="Cambria Math"/>
              <w:szCs w:val="28"/>
            </w:rPr>
            <m:t>23,62</m:t>
          </m:r>
          <m:r>
            <w:rPr>
              <w:rFonts w:ascii="Cambria Math"/>
              <w:szCs w:val="28"/>
              <w:lang w:val="en-US"/>
            </w:rPr>
            <m:t>&gt;</m:t>
          </m:r>
          <m:r>
            <w:rPr>
              <w:rFonts w:ascii="Cambria Math"/>
              <w:szCs w:val="28"/>
            </w:rPr>
            <m:t>20</m:t>
          </m:r>
        </m:oMath>
      </m:oMathPara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 xml:space="preserve">На ток срабатывания при </w:t>
      </w:r>
      <w:proofErr w:type="spellStart"/>
      <w:r w:rsidRPr="002B7CA7">
        <w:rPr>
          <w:rFonts w:eastAsiaTheme="minorEastAsia"/>
          <w:szCs w:val="28"/>
        </w:rPr>
        <w:t>к.з</w:t>
      </w:r>
      <w:proofErr w:type="spellEnd"/>
      <w:r w:rsidRPr="002B7CA7">
        <w:rPr>
          <w:rFonts w:eastAsiaTheme="minorEastAsia"/>
          <w:szCs w:val="28"/>
        </w:rPr>
        <w:t xml:space="preserve">.: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ср</m:t>
            </m:r>
            <m:r>
              <w:rPr>
                <w:rFonts w:ascii="Cambria Math"/>
                <w:szCs w:val="28"/>
              </w:rPr>
              <m:t>.</m:t>
            </m:r>
            <m:r>
              <w:rPr>
                <w:rFonts w:ascii="Cambria Math"/>
                <w:szCs w:val="28"/>
              </w:rPr>
              <m:t>кз</m:t>
            </m:r>
          </m:sub>
        </m:sSub>
        <m:r>
          <w:rPr>
            <w:rFonts w:ascii="Cambria Math"/>
            <w:szCs w:val="28"/>
          </w:rPr>
          <m:t>≥</m:t>
        </m:r>
        <m:r>
          <w:rPr>
            <w:rFonts w:ascii="Cambria Math"/>
            <w:szCs w:val="28"/>
          </w:rPr>
          <m:t>1,25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кр</m:t>
            </m:r>
            <m:r>
              <w:rPr>
                <w:rFonts w:ascii="Cambria Math"/>
                <w:szCs w:val="28"/>
              </w:rPr>
              <m:t>.</m:t>
            </m:r>
            <m:r>
              <w:rPr>
                <w:rFonts w:ascii="Cambria Math" w:hAnsi="Cambria Math"/>
                <w:szCs w:val="28"/>
                <w:lang w:val="en-US"/>
              </w:rPr>
              <m:t>max</m:t>
            </m:r>
          </m:sub>
        </m:sSub>
        <m:r>
          <w:rPr>
            <w:rFonts w:ascii="Cambria Math"/>
            <w:szCs w:val="28"/>
          </w:rPr>
          <m:t xml:space="preserve">,  </m:t>
        </m:r>
      </m:oMath>
      <w:r w:rsidRPr="002B7CA7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кр</m:t>
            </m:r>
            <m:r>
              <w:rPr>
                <w:rFonts w:ascii="Cambria Math"/>
                <w:szCs w:val="28"/>
              </w:rPr>
              <m:t>.</m:t>
            </m:r>
            <m:r>
              <w:rPr>
                <w:rFonts w:ascii="Cambria Math" w:hAnsi="Cambria Math"/>
                <w:szCs w:val="28"/>
                <w:lang w:val="en-US"/>
              </w:rPr>
              <m:t>max</m:t>
            </m:r>
          </m:sub>
        </m:sSub>
        <m:r>
          <w:rPr>
            <w:rFonts w:asci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р</m:t>
            </m:r>
          </m:sub>
        </m:sSub>
        <m:r>
          <w:rPr>
            <w:rFonts w:asci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ср</m:t>
            </m:r>
            <m:r>
              <w:rPr>
                <w:rFonts w:ascii="Cambria Math"/>
                <w:szCs w:val="28"/>
              </w:rPr>
              <m:t>.</m:t>
            </m:r>
            <m:r>
              <w:rPr>
                <w:rFonts w:ascii="Cambria Math"/>
                <w:szCs w:val="28"/>
              </w:rPr>
              <m:t>кз</m:t>
            </m:r>
          </m:sub>
        </m:sSub>
        <m:r>
          <w:rPr>
            <w:rFonts w:ascii="Cambria Math"/>
            <w:szCs w:val="28"/>
          </w:rPr>
          <m:t>=10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н</m:t>
            </m:r>
            <m:r>
              <w:rPr>
                <w:rFonts w:ascii="Cambria Math"/>
                <w:szCs w:val="28"/>
              </w:rPr>
              <m:t>.</m:t>
            </m:r>
            <m:r>
              <w:rPr>
                <w:rFonts w:ascii="Cambria Math"/>
                <w:szCs w:val="28"/>
              </w:rPr>
              <m:t>р</m:t>
            </m:r>
          </m:sub>
        </m:sSub>
      </m:oMath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Cs w:val="28"/>
            </w:rPr>
            <m:t>10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25</m:t>
          </m:r>
          <m:r>
            <w:rPr>
              <w:rFonts w:ascii="Cambria Math"/>
              <w:szCs w:val="28"/>
            </w:rPr>
            <m:t>≥</m:t>
          </m:r>
          <m:r>
            <w:rPr>
              <w:rFonts w:ascii="Cambria Math"/>
              <w:szCs w:val="28"/>
            </w:rPr>
            <m:t>1,25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23,62</m:t>
          </m:r>
          <m:r>
            <w:rPr>
              <w:rFonts w:ascii="Cambria Math"/>
              <w:szCs w:val="28"/>
            </w:rPr>
            <m:t>→</m:t>
          </m:r>
          <m:r>
            <w:rPr>
              <w:rFonts w:ascii="Cambria Math"/>
              <w:szCs w:val="28"/>
            </w:rPr>
            <m:t>250</m:t>
          </m:r>
          <m:r>
            <w:rPr>
              <w:rFonts w:ascii="Cambria Math"/>
              <w:szCs w:val="28"/>
            </w:rPr>
            <m:t>≥</m:t>
          </m:r>
          <m:r>
            <w:rPr>
              <w:rFonts w:ascii="Cambria Math"/>
              <w:szCs w:val="28"/>
            </w:rPr>
            <m:t>29,52</m:t>
          </m:r>
        </m:oMath>
      </m:oMathPara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 xml:space="preserve">На ложность срабатывания при пуске: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</w:rPr>
              <m:t>ср</m:t>
            </m:r>
          </m:sub>
        </m:sSub>
        <m:r>
          <w:rPr>
            <w:rFonts w:ascii="Cambria Math"/>
            <w:szCs w:val="28"/>
          </w:rPr>
          <m:t>≥</m:t>
        </m:r>
        <m:r>
          <w:rPr>
            <w:rFonts w:ascii="Cambria Math"/>
            <w:szCs w:val="28"/>
          </w:rPr>
          <m:t>1,25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w:rPr>
                    <w:rFonts w:ascii="Cambria Math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Cs w:val="28"/>
                  </w:rPr>
                  <m:t>пуск</m:t>
                </m:r>
              </m:sub>
            </m:sSub>
            <m:r>
              <w:rPr>
                <w:rFonts w:ascii="Cambria Math" w:hAnsi="Cambria Math"/>
                <w:szCs w:val="28"/>
              </w:rPr>
              <m:t>∙I</m:t>
            </m:r>
          </m:e>
          <m:sub>
            <m:r>
              <w:rPr>
                <w:rFonts w:ascii="Cambria Math"/>
                <w:szCs w:val="28"/>
              </w:rPr>
              <m:t>р</m:t>
            </m:r>
          </m:sub>
        </m:sSub>
        <m:r>
          <w:rPr>
            <w:rFonts w:ascii="Cambria Math"/>
            <w:szCs w:val="28"/>
          </w:rPr>
          <m:t xml:space="preserve">,  </m:t>
        </m:r>
      </m:oMath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/>
                  <w:szCs w:val="28"/>
                </w:rPr>
                <m:t>ср</m:t>
              </m:r>
            </m:sub>
          </m:sSub>
          <m:r>
            <w:rPr>
              <w:rFonts w:ascii="Cambria Math"/>
              <w:szCs w:val="28"/>
            </w:rPr>
            <m:t>=12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/>
                  <w:szCs w:val="28"/>
                </w:rPr>
                <m:t>н</m:t>
              </m:r>
              <m:r>
                <w:rPr>
                  <w:rFonts w:ascii="Cambria Math"/>
                  <w:szCs w:val="28"/>
                </w:rPr>
                <m:t>.</m:t>
              </m:r>
              <m:r>
                <w:rPr>
                  <w:rFonts w:ascii="Cambria Math"/>
                  <w:szCs w:val="28"/>
                </w:rPr>
                <m:t>р</m:t>
              </m:r>
            </m:sub>
          </m:sSub>
          <m:r>
            <w:rPr>
              <w:rFonts w:ascii="Cambria Math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/>
                  <w:szCs w:val="28"/>
                </w:rPr>
                <m:t xml:space="preserve">  </m:t>
              </m:r>
              <m:r>
                <w:rPr>
                  <w:rFonts w:ascii="Cambria Math"/>
                  <w:szCs w:val="28"/>
                </w:rPr>
                <m:t>К</m:t>
              </m:r>
            </m:e>
            <m:sub>
              <m:r>
                <w:rPr>
                  <w:rFonts w:ascii="Cambria Math"/>
                  <w:szCs w:val="28"/>
                </w:rPr>
                <m:t>пуск</m:t>
              </m:r>
            </m:sub>
          </m:sSub>
          <m:r>
            <w:rPr>
              <w:rFonts w:ascii="Cambria Math"/>
              <w:szCs w:val="28"/>
            </w:rPr>
            <m:t xml:space="preserve">=6 </m:t>
          </m:r>
        </m:oMath>
      </m:oMathPara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Cs w:val="28"/>
            </w:rPr>
            <m:t>12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25</m:t>
          </m:r>
          <m:r>
            <w:rPr>
              <w:rFonts w:ascii="Cambria Math"/>
              <w:szCs w:val="28"/>
            </w:rPr>
            <m:t>≥</m:t>
          </m:r>
          <m:r>
            <w:rPr>
              <w:rFonts w:ascii="Cambria Math"/>
              <w:szCs w:val="28"/>
            </w:rPr>
            <m:t>1,25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6</m:t>
          </m:r>
          <m:r>
            <w:rPr>
              <w:rFonts w:ascii="Cambria Math"/>
              <w:szCs w:val="28"/>
            </w:rPr>
            <m:t>∙</m:t>
          </m:r>
          <m:r>
            <w:rPr>
              <w:rFonts w:ascii="Cambria Math"/>
              <w:szCs w:val="28"/>
            </w:rPr>
            <m:t>23,62</m:t>
          </m:r>
          <m:r>
            <w:rPr>
              <w:rFonts w:ascii="Cambria Math"/>
              <w:szCs w:val="28"/>
            </w:rPr>
            <m:t>→</m:t>
          </m:r>
          <m:r>
            <w:rPr>
              <w:rFonts w:ascii="Cambria Math"/>
              <w:szCs w:val="28"/>
            </w:rPr>
            <m:t>300</m:t>
          </m:r>
          <m:r>
            <w:rPr>
              <w:rFonts w:ascii="Cambria Math"/>
              <w:szCs w:val="28"/>
            </w:rPr>
            <m:t>≥</m:t>
          </m:r>
          <m:r>
            <w:rPr>
              <w:rFonts w:ascii="Cambria Math"/>
              <w:szCs w:val="28"/>
            </w:rPr>
            <m:t>177,15</m:t>
          </m:r>
        </m:oMath>
      </m:oMathPara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>Выключатель проходит.</w:t>
      </w:r>
    </w:p>
    <w:p w:rsidR="00DA55E5" w:rsidRPr="002B7CA7" w:rsidRDefault="00DA55E5" w:rsidP="00DA55E5">
      <w:pPr>
        <w:jc w:val="both"/>
        <w:rPr>
          <w:rFonts w:eastAsiaTheme="minorEastAsia"/>
          <w:szCs w:val="28"/>
        </w:rPr>
      </w:pPr>
      <w:r w:rsidRPr="002B7CA7">
        <w:rPr>
          <w:rFonts w:eastAsiaTheme="minorEastAsia"/>
          <w:szCs w:val="28"/>
        </w:rPr>
        <w:t xml:space="preserve">Выбираем провод АПВ </w:t>
      </w:r>
      <w:r w:rsidRPr="002B7CA7">
        <w:rPr>
          <w:rFonts w:eastAsiaTheme="minorEastAsia"/>
          <w:i/>
          <w:szCs w:val="28"/>
          <w:lang w:val="en-US"/>
        </w:rPr>
        <w:t>S</w:t>
      </w:r>
      <w:r w:rsidRPr="002B7CA7">
        <w:rPr>
          <w:rFonts w:eastAsiaTheme="minorEastAsia"/>
          <w:szCs w:val="28"/>
        </w:rPr>
        <w:t>=6 мм</w:t>
      </w:r>
      <w:r w:rsidRPr="002B7CA7">
        <w:rPr>
          <w:rFonts w:eastAsiaTheme="minorEastAsia"/>
          <w:szCs w:val="28"/>
          <w:vertAlign w:val="superscript"/>
        </w:rPr>
        <w:t>2</w:t>
      </w:r>
      <w:r w:rsidRPr="002B7CA7">
        <w:rPr>
          <w:rFonts w:eastAsiaTheme="minorEastAsia"/>
          <w:szCs w:val="28"/>
        </w:rPr>
        <w:t xml:space="preserve">, </w:t>
      </w:r>
      <w:r w:rsidRPr="002B7CA7">
        <w:rPr>
          <w:rFonts w:eastAsiaTheme="minorEastAsia"/>
          <w:i/>
          <w:szCs w:val="28"/>
          <w:lang w:val="en-US"/>
        </w:rPr>
        <w:t>I</w:t>
      </w:r>
      <w:r w:rsidRPr="002B7CA7">
        <w:rPr>
          <w:rFonts w:eastAsiaTheme="minorEastAsia"/>
          <w:szCs w:val="28"/>
          <w:vertAlign w:val="subscript"/>
        </w:rPr>
        <w:t>д</w:t>
      </w:r>
      <w:r w:rsidRPr="002B7CA7">
        <w:rPr>
          <w:rFonts w:eastAsiaTheme="minorEastAsia"/>
          <w:szCs w:val="28"/>
        </w:rPr>
        <w:t xml:space="preserve">=29 А; </w:t>
      </w:r>
      <w:r w:rsidRPr="002B7CA7">
        <w:rPr>
          <w:rFonts w:eastAsiaTheme="minorEastAsia"/>
          <w:i/>
          <w:szCs w:val="28"/>
          <w:lang w:val="en-US"/>
        </w:rPr>
        <w:t>I</w:t>
      </w:r>
      <w:proofErr w:type="gramStart"/>
      <w:r w:rsidRPr="002B7CA7">
        <w:rPr>
          <w:rFonts w:eastAsiaTheme="minorEastAsia"/>
          <w:szCs w:val="28"/>
          <w:vertAlign w:val="subscript"/>
        </w:rPr>
        <w:t xml:space="preserve">д </w:t>
      </w:r>
      <w:r w:rsidRPr="002B7CA7">
        <w:rPr>
          <w:rFonts w:eastAsiaTheme="minorEastAsia"/>
          <w:szCs w:val="28"/>
        </w:rPr>
        <w:t>&gt;</w:t>
      </w:r>
      <w:proofErr w:type="gramEnd"/>
      <w:r w:rsidRPr="002B7CA7">
        <w:rPr>
          <w:rFonts w:eastAsiaTheme="minorEastAsia"/>
          <w:i/>
          <w:szCs w:val="28"/>
        </w:rPr>
        <w:t xml:space="preserve"> </w:t>
      </w:r>
      <w:r w:rsidRPr="002B7CA7">
        <w:rPr>
          <w:rFonts w:eastAsiaTheme="minorEastAsia"/>
          <w:i/>
          <w:szCs w:val="28"/>
          <w:lang w:val="en-US"/>
        </w:rPr>
        <w:t>I</w:t>
      </w:r>
      <w:r w:rsidRPr="002B7CA7">
        <w:rPr>
          <w:rFonts w:eastAsiaTheme="minorEastAsia"/>
          <w:szCs w:val="28"/>
          <w:vertAlign w:val="subscript"/>
        </w:rPr>
        <w:t>р</w:t>
      </w: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DA55E5" w:rsidRPr="002B7CA7" w:rsidRDefault="00DA55E5" w:rsidP="00DA55E5">
      <w:pPr>
        <w:jc w:val="center"/>
        <w:rPr>
          <w:szCs w:val="28"/>
        </w:rPr>
      </w:pPr>
      <w:r w:rsidRPr="002B7CA7">
        <w:rPr>
          <w:szCs w:val="28"/>
        </w:rPr>
        <w:lastRenderedPageBreak/>
        <w:t>ПРИЛОЖЕНИЕ 1</w:t>
      </w:r>
    </w:p>
    <w:p w:rsidR="00DA55E5" w:rsidRPr="002B7CA7" w:rsidRDefault="00DA55E5" w:rsidP="00DA55E5">
      <w:pPr>
        <w:jc w:val="center"/>
        <w:rPr>
          <w:szCs w:val="28"/>
        </w:rPr>
      </w:pPr>
      <w:r w:rsidRPr="002B7CA7">
        <w:rPr>
          <w:szCs w:val="28"/>
        </w:rPr>
        <w:t>Список вопросов</w:t>
      </w:r>
      <w:r w:rsidR="00281CE0">
        <w:rPr>
          <w:szCs w:val="28"/>
        </w:rPr>
        <w:t xml:space="preserve"> для контрольной работы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Силовые общепромышленные установки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Электрические осветительные установки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Преобразовательные установки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Электродвигатели производственных механизмов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Электрические печи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Электросварочные установки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Приемники трехфазного напряжения до 1000 В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Приемники трехфазного напряжения выше 1000 В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Приемники однофазного тока напряжением до 1000 В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Приемники постоянного тока, питаемы от преобразовательных подстанций и установок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Приемники, работающие с частотой, отличной от 50 Гц, питаемые от преобразовательных подстанций и установок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Электротермические установки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Дуговые электрические печи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Печи со смешанным нагревом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Надежность (бесперебойность) питания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Режимы работы приемников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Плавильные печи сопротивления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Лампы накаливания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Электрические печи индукционного нагрева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Люминесцентные лампы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 w:rsidRPr="00C650C0">
        <w:rPr>
          <w:szCs w:val="28"/>
        </w:rPr>
        <w:t xml:space="preserve">Дуговые ртутные лампы высокого давления 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Установки электростатической окраски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Светодиодные светильники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Дуговые сталеплавильные печи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Установки плазменного нагрева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Индукционные лампы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Электронно-лучевая сварка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Электролизные установки</w:t>
      </w:r>
    </w:p>
    <w:p w:rsidR="00DA55E5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Оборудование электрохимической обработки металлов</w:t>
      </w:r>
    </w:p>
    <w:p w:rsidR="00DA55E5" w:rsidRPr="001B6BA0" w:rsidRDefault="00DA55E5" w:rsidP="00DA55E5">
      <w:pPr>
        <w:pStyle w:val="a3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Электрофильтры</w:t>
      </w:r>
    </w:p>
    <w:p w:rsidR="00DA55E5" w:rsidRPr="002B7CA7" w:rsidRDefault="00DA55E5" w:rsidP="00DA55E5">
      <w:pPr>
        <w:rPr>
          <w:szCs w:val="28"/>
        </w:rPr>
      </w:pPr>
    </w:p>
    <w:p w:rsidR="00DA55E5" w:rsidRPr="002B7CA7" w:rsidRDefault="00DA55E5" w:rsidP="00DA55E5">
      <w:pPr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DA55E5" w:rsidRPr="002B7CA7" w:rsidRDefault="00DA55E5" w:rsidP="00DA55E5">
      <w:pPr>
        <w:jc w:val="center"/>
        <w:rPr>
          <w:szCs w:val="28"/>
        </w:rPr>
      </w:pPr>
      <w:r w:rsidRPr="002B7CA7">
        <w:rPr>
          <w:szCs w:val="28"/>
        </w:rPr>
        <w:lastRenderedPageBreak/>
        <w:t>ПРИЛОЖЕНИЕ 2</w:t>
      </w:r>
    </w:p>
    <w:p w:rsidR="00DA55E5" w:rsidRPr="002B7CA7" w:rsidRDefault="00DA55E5" w:rsidP="00DA55E5">
      <w:pPr>
        <w:jc w:val="center"/>
        <w:rPr>
          <w:szCs w:val="28"/>
        </w:rPr>
      </w:pPr>
      <w:r w:rsidRPr="002B7CA7">
        <w:rPr>
          <w:szCs w:val="28"/>
        </w:rPr>
        <w:t>Коэффициент мощности некоторых п</w:t>
      </w:r>
      <w:r>
        <w:rPr>
          <w:szCs w:val="28"/>
        </w:rPr>
        <w:t>отребителей</w:t>
      </w:r>
    </w:p>
    <w:p w:rsidR="00DA55E5" w:rsidRPr="002B7CA7" w:rsidRDefault="00DA55E5" w:rsidP="00DA55E5">
      <w:pPr>
        <w:jc w:val="center"/>
        <w:rPr>
          <w:szCs w:val="28"/>
        </w:rPr>
      </w:pPr>
      <w:r w:rsidRPr="002B7CA7">
        <w:rPr>
          <w:noProof/>
          <w:szCs w:val="28"/>
        </w:rPr>
        <w:drawing>
          <wp:inline distT="0" distB="0" distL="0" distR="0">
            <wp:extent cx="3456940" cy="5720715"/>
            <wp:effectExtent l="19050" t="0" r="0" b="0"/>
            <wp:docPr id="1" name="Рисунок 1" descr="http://electricdoma.ru/wp-content/uploads/2016/04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icdoma.ru/wp-content/uploads/2016/04/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72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E5" w:rsidRPr="002B7CA7" w:rsidRDefault="00DA55E5" w:rsidP="00DA55E5">
      <w:pPr>
        <w:rPr>
          <w:szCs w:val="28"/>
        </w:rPr>
      </w:pPr>
      <w:r w:rsidRPr="002B7CA7">
        <w:rPr>
          <w:noProof/>
          <w:szCs w:val="28"/>
        </w:rPr>
        <w:drawing>
          <wp:inline distT="0" distB="0" distL="0" distR="0">
            <wp:extent cx="5478502" cy="1962614"/>
            <wp:effectExtent l="19050" t="0" r="7898" b="0"/>
            <wp:docPr id="4" name="Рисунок 4" descr="http://darex.com.ua/images/i_1/154060434876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rex.com.ua/images/i_1/154060434876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02" cy="196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E5" w:rsidRPr="002B7CA7" w:rsidRDefault="00DA55E5" w:rsidP="00DA55E5">
      <w:pPr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DA55E5" w:rsidRPr="002B7CA7" w:rsidRDefault="00DA55E5" w:rsidP="00DA55E5">
      <w:pPr>
        <w:jc w:val="center"/>
        <w:rPr>
          <w:szCs w:val="28"/>
        </w:rPr>
      </w:pPr>
      <w:r w:rsidRPr="002B7CA7">
        <w:rPr>
          <w:szCs w:val="28"/>
        </w:rPr>
        <w:lastRenderedPageBreak/>
        <w:t>ПРИЛОЖЕНИЕ 3</w:t>
      </w:r>
    </w:p>
    <w:p w:rsidR="00DA55E5" w:rsidRDefault="00DA55E5" w:rsidP="00DA55E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74260" cy="3235960"/>
            <wp:effectExtent l="19050" t="0" r="2540" b="0"/>
            <wp:docPr id="5" name="Рисунок 1" descr="table_a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ap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E5" w:rsidRDefault="00DA55E5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281CE0" w:rsidRDefault="00281CE0" w:rsidP="00DA55E5">
      <w:pPr>
        <w:jc w:val="center"/>
        <w:rPr>
          <w:szCs w:val="28"/>
        </w:rPr>
      </w:pPr>
    </w:p>
    <w:p w:rsidR="00DA55E5" w:rsidRDefault="00DA55E5" w:rsidP="00DA55E5">
      <w:pPr>
        <w:jc w:val="center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DA55E5" w:rsidRPr="00F11F23" w:rsidRDefault="00DA55E5" w:rsidP="00DA55E5">
      <w:pPr>
        <w:pStyle w:val="a7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A2ACB">
        <w:rPr>
          <w:i/>
          <w:color w:val="000000"/>
          <w:sz w:val="28"/>
          <w:szCs w:val="28"/>
        </w:rPr>
        <w:t>ПРИМЕР ОФОРМЛЕНИЯ</w:t>
      </w:r>
      <w:r w:rsidRPr="002B7CA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ТИТУЛЬНОГО ЛИСТА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Pr="00AA2ACB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«Электротехника»</w:t>
      </w:r>
    </w:p>
    <w:p w:rsidR="00DA55E5" w:rsidRPr="00AA2ACB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Pr="00AA2ACB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СЕМЕСТРОВАЯ РАБОТА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7CA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дисциплине</w:t>
      </w:r>
      <w:r w:rsidRPr="002B7CA7">
        <w:rPr>
          <w:color w:val="000000"/>
          <w:sz w:val="28"/>
          <w:szCs w:val="28"/>
        </w:rPr>
        <w:t xml:space="preserve"> </w:t>
      </w:r>
    </w:p>
    <w:p w:rsidR="00DA55E5" w:rsidRPr="002B7CA7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7CA7">
        <w:rPr>
          <w:color w:val="000000"/>
          <w:sz w:val="28"/>
          <w:szCs w:val="28"/>
        </w:rPr>
        <w:t>«Приемники и потребители электрической энергии»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36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36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36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left="5529"/>
        <w:rPr>
          <w:color w:val="000000"/>
          <w:sz w:val="28"/>
          <w:szCs w:val="28"/>
        </w:rPr>
      </w:pPr>
      <w:r w:rsidRPr="00B53129">
        <w:rPr>
          <w:color w:val="000000"/>
          <w:sz w:val="28"/>
          <w:szCs w:val="28"/>
        </w:rPr>
        <w:t xml:space="preserve">Выполнил: </w:t>
      </w:r>
      <w:r>
        <w:rPr>
          <w:color w:val="000000"/>
          <w:sz w:val="28"/>
          <w:szCs w:val="28"/>
        </w:rPr>
        <w:t>Иванов И.И.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группы: ЭЭЗ-</w:t>
      </w:r>
      <w:r w:rsidR="002652A2">
        <w:rPr>
          <w:color w:val="000000"/>
          <w:sz w:val="28"/>
          <w:szCs w:val="28"/>
        </w:rPr>
        <w:t>371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Проверил: </w:t>
      </w:r>
      <w:r w:rsidR="002652A2">
        <w:rPr>
          <w:color w:val="000000"/>
          <w:sz w:val="28"/>
          <w:szCs w:val="28"/>
        </w:rPr>
        <w:t>доцент</w:t>
      </w:r>
    </w:p>
    <w:p w:rsidR="00DA55E5" w:rsidRDefault="00C03522" w:rsidP="00DA55E5">
      <w:pPr>
        <w:pStyle w:val="a7"/>
        <w:spacing w:before="0" w:beforeAutospacing="0" w:after="0" w:afterAutospacing="0" w:line="360" w:lineRule="auto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</w:t>
      </w:r>
      <w:r w:rsidR="00DA55E5">
        <w:rPr>
          <w:color w:val="000000"/>
          <w:sz w:val="28"/>
          <w:szCs w:val="28"/>
        </w:rPr>
        <w:t xml:space="preserve"> Н.С.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ind w:left="6096" w:firstLine="709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left="6096" w:firstLine="709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A55E5" w:rsidRPr="00B53129" w:rsidRDefault="002652A2" w:rsidP="00DA55E5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Волгоград, 2019</w:t>
      </w:r>
      <w:bookmarkStart w:id="0" w:name="_GoBack"/>
      <w:bookmarkEnd w:id="0"/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A2ACB">
        <w:rPr>
          <w:i/>
          <w:color w:val="000000"/>
          <w:sz w:val="28"/>
          <w:szCs w:val="28"/>
        </w:rPr>
        <w:lastRenderedPageBreak/>
        <w:t>Пример оформления рисунка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52306" cy="2806992"/>
            <wp:effectExtent l="19050" t="0" r="0" b="0"/>
            <wp:docPr id="3" name="Рисунок 1" descr="http://econom-e.ru/wp-content/uploads/2013/03/%D0%9A%D0%B0%D1%80%D1%82%D0%B8%D0%BD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-e.ru/wp-content/uploads/2013/03/%D0%9A%D0%B0%D1%80%D1%82%D0%B8%D0%BD%D0%BA%D0%B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83" cy="280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A2ACB">
        <w:rPr>
          <w:color w:val="000000"/>
          <w:sz w:val="28"/>
          <w:szCs w:val="28"/>
        </w:rPr>
        <w:t>Рисунок 1 – Название рисунка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A2ACB">
        <w:rPr>
          <w:i/>
          <w:color w:val="000000"/>
          <w:sz w:val="28"/>
          <w:szCs w:val="28"/>
        </w:rPr>
        <w:t>Пример оформления таблицы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2ACB">
        <w:rPr>
          <w:color w:val="000000"/>
          <w:sz w:val="28"/>
          <w:szCs w:val="28"/>
        </w:rPr>
        <w:t>Таблица 1 – Название 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DA55E5" w:rsidTr="001D4B06"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A55E5" w:rsidTr="001D4B06"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A55E5" w:rsidTr="001D4B06"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A2ACB">
        <w:rPr>
          <w:i/>
          <w:color w:val="000000"/>
          <w:sz w:val="28"/>
          <w:szCs w:val="28"/>
        </w:rPr>
        <w:t xml:space="preserve">Пример оформления формулы 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I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R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                                                                       (1)</m:t>
          </m:r>
        </m:oMath>
      </m:oMathPara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Пример оформления приложения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11F23">
        <w:rPr>
          <w:color w:val="000000"/>
          <w:sz w:val="28"/>
          <w:szCs w:val="28"/>
        </w:rPr>
        <w:t>ПРИЛОЖЕНИЕ А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Текст……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A2ACB">
        <w:rPr>
          <w:i/>
          <w:color w:val="000000"/>
          <w:sz w:val="28"/>
          <w:szCs w:val="28"/>
        </w:rPr>
        <w:t>Пример оформления рисунка</w:t>
      </w:r>
      <w:r>
        <w:rPr>
          <w:i/>
          <w:color w:val="000000"/>
          <w:sz w:val="28"/>
          <w:szCs w:val="28"/>
        </w:rPr>
        <w:t xml:space="preserve"> в приложение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52306" cy="2806992"/>
            <wp:effectExtent l="19050" t="0" r="0" b="0"/>
            <wp:docPr id="2" name="Рисунок 1" descr="http://econom-e.ru/wp-content/uploads/2013/03/%D0%9A%D0%B0%D1%80%D1%82%D0%B8%D0%BD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-e.ru/wp-content/uploads/2013/03/%D0%9A%D0%B0%D1%80%D1%82%D0%B8%D0%BD%D0%BA%D0%B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83" cy="280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A2ACB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А.</w:t>
      </w:r>
      <w:r w:rsidRPr="00AA2ACB">
        <w:rPr>
          <w:color w:val="000000"/>
          <w:sz w:val="28"/>
          <w:szCs w:val="28"/>
        </w:rPr>
        <w:t>1 – Название рисунка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A2ACB">
        <w:rPr>
          <w:i/>
          <w:color w:val="000000"/>
          <w:sz w:val="28"/>
          <w:szCs w:val="28"/>
        </w:rPr>
        <w:t>Пример оформления таблицы</w:t>
      </w:r>
      <w:r>
        <w:rPr>
          <w:i/>
          <w:color w:val="000000"/>
          <w:sz w:val="28"/>
          <w:szCs w:val="28"/>
        </w:rPr>
        <w:t xml:space="preserve"> в приложение</w:t>
      </w: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2ACB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А.</w:t>
      </w:r>
      <w:r w:rsidRPr="00AA2ACB">
        <w:rPr>
          <w:color w:val="000000"/>
          <w:sz w:val="28"/>
          <w:szCs w:val="28"/>
        </w:rPr>
        <w:t>1 – Название 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DA55E5" w:rsidTr="001D4B06">
        <w:tc>
          <w:tcPr>
            <w:tcW w:w="3379" w:type="dxa"/>
            <w:vAlign w:val="center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столбца</w:t>
            </w:r>
          </w:p>
        </w:tc>
        <w:tc>
          <w:tcPr>
            <w:tcW w:w="3379" w:type="dxa"/>
            <w:vAlign w:val="center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столбца</w:t>
            </w:r>
          </w:p>
        </w:tc>
        <w:tc>
          <w:tcPr>
            <w:tcW w:w="3379" w:type="dxa"/>
            <w:vAlign w:val="center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столбца</w:t>
            </w:r>
          </w:p>
        </w:tc>
      </w:tr>
      <w:tr w:rsidR="00DA55E5" w:rsidTr="001D4B06"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A55E5" w:rsidTr="001D4B06"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A55E5" w:rsidRDefault="00DA55E5" w:rsidP="001D4B06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A55E5" w:rsidRDefault="00DA55E5" w:rsidP="00DA55E5">
      <w:pPr>
        <w:pStyle w:val="a7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A2ACB">
        <w:rPr>
          <w:i/>
          <w:color w:val="000000"/>
          <w:sz w:val="28"/>
          <w:szCs w:val="28"/>
        </w:rPr>
        <w:t xml:space="preserve">Пример оформления формулы </w:t>
      </w:r>
      <w:r>
        <w:rPr>
          <w:i/>
          <w:color w:val="000000"/>
          <w:sz w:val="28"/>
          <w:szCs w:val="28"/>
        </w:rPr>
        <w:t>в приложение</w:t>
      </w:r>
    </w:p>
    <w:p w:rsidR="00DA55E5" w:rsidRPr="002B7CA7" w:rsidRDefault="00DA55E5" w:rsidP="00DA55E5">
      <w:pPr>
        <w:jc w:val="center"/>
        <w:rPr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/>
              <w:szCs w:val="28"/>
            </w:rPr>
            <m:t>I</m:t>
          </m:r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U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R</m:t>
              </m:r>
            </m:den>
          </m:f>
          <m:r>
            <w:rPr>
              <w:rFonts w:ascii="Cambria Math"/>
              <w:color w:val="000000"/>
              <w:szCs w:val="28"/>
            </w:rPr>
            <m:t xml:space="preserve">                                                                       (</m:t>
          </m:r>
          <m:r>
            <m:rPr>
              <m:sty m:val="p"/>
            </m:rPr>
            <w:rPr>
              <w:rFonts w:ascii="Cambria Math"/>
              <w:color w:val="000000"/>
              <w:szCs w:val="28"/>
            </w:rPr>
            <m:t>А</m:t>
          </m:r>
          <m:r>
            <m:rPr>
              <m:sty m:val="p"/>
            </m:rPr>
            <w:rPr>
              <w:rFonts w:ascii="Cambria Math"/>
              <w:color w:val="000000"/>
              <w:szCs w:val="28"/>
            </w:rPr>
            <m:t>.</m:t>
          </m:r>
          <m:r>
            <w:rPr>
              <w:rFonts w:ascii="Cambria Math"/>
              <w:color w:val="000000"/>
              <w:szCs w:val="28"/>
            </w:rPr>
            <m:t>1)</m:t>
          </m:r>
        </m:oMath>
      </m:oMathPara>
    </w:p>
    <w:p w:rsidR="00DA55E5" w:rsidRDefault="00DA55E5" w:rsidP="00DA55E5">
      <w:pPr>
        <w:spacing w:line="360" w:lineRule="auto"/>
        <w:jc w:val="center"/>
        <w:rPr>
          <w:b/>
          <w:szCs w:val="28"/>
        </w:rPr>
      </w:pPr>
    </w:p>
    <w:p w:rsidR="00DA55E5" w:rsidRDefault="00DA55E5" w:rsidP="00DA55E5">
      <w:pPr>
        <w:spacing w:line="360" w:lineRule="auto"/>
        <w:jc w:val="center"/>
        <w:rPr>
          <w:b/>
          <w:szCs w:val="28"/>
        </w:rPr>
      </w:pPr>
    </w:p>
    <w:p w:rsidR="00DA55E5" w:rsidRDefault="00DA55E5" w:rsidP="00DA55E5">
      <w:pPr>
        <w:spacing w:line="360" w:lineRule="auto"/>
        <w:jc w:val="center"/>
        <w:rPr>
          <w:b/>
          <w:szCs w:val="28"/>
        </w:rPr>
      </w:pPr>
    </w:p>
    <w:p w:rsidR="00DA55E5" w:rsidRDefault="00DA55E5" w:rsidP="00DA55E5">
      <w:pPr>
        <w:spacing w:line="360" w:lineRule="auto"/>
        <w:jc w:val="center"/>
        <w:rPr>
          <w:b/>
          <w:szCs w:val="28"/>
        </w:rPr>
      </w:pPr>
    </w:p>
    <w:p w:rsidR="00DA55E5" w:rsidRPr="00334F8F" w:rsidRDefault="00281CE0" w:rsidP="00DA55E5">
      <w:pPr>
        <w:spacing w:line="360" w:lineRule="auto"/>
        <w:jc w:val="center"/>
        <w:rPr>
          <w:b/>
          <w:szCs w:val="28"/>
        </w:rPr>
      </w:pPr>
      <w:r w:rsidRPr="00334F8F">
        <w:rPr>
          <w:b/>
          <w:szCs w:val="28"/>
        </w:rPr>
        <w:lastRenderedPageBreak/>
        <w:t>СПИСОК ВОПРОСОВ ДЛЯ ЭКЗАМЕНА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>Основные понятия о приемниках и потребителях электроэнергии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Классификация </w:t>
      </w:r>
      <w:proofErr w:type="spellStart"/>
      <w:r>
        <w:t>электроприемников</w:t>
      </w:r>
      <w:proofErr w:type="spellEnd"/>
      <w:r>
        <w:t xml:space="preserve">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Классификация потребителей электрической энергии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Характеристики </w:t>
      </w:r>
      <w:proofErr w:type="spellStart"/>
      <w:r>
        <w:t>электроприемников</w:t>
      </w:r>
      <w:proofErr w:type="spellEnd"/>
      <w:r>
        <w:t xml:space="preserve">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Графики электрических нагрузок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Характерные приемники электроэнергии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Электродвигатели силовых и общепромышленных установок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>Электродвигатели производственных станков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Осветительные электроустановки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Электрические печи и электротермические установки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Выпрямительные и преобразовательные установки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Коммунально-бытовые приемники и потребители электроэнергии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Сельскохозяйственные потребители электроэнергии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Методы определения расчетной электрической нагрузки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Статистический метод определения расчетной нагрузки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Метод упорядоченных диаграмм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Определение расчетной нагрузки для группы из трех или мене </w:t>
      </w:r>
      <w:proofErr w:type="spellStart"/>
      <w:r>
        <w:t>электроприемников</w:t>
      </w:r>
      <w:proofErr w:type="spellEnd"/>
      <w:r>
        <w:t xml:space="preserve">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>Вспомогательные методы определения расчетной нагрузки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Определение расчетной нагрузки потребителей на напряжении 6–10 кВ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Определение расчетной нагрузки при наличии однофазных </w:t>
      </w:r>
      <w:proofErr w:type="spellStart"/>
      <w:r>
        <w:t>электроприемников</w:t>
      </w:r>
      <w:proofErr w:type="spellEnd"/>
      <w:r>
        <w:t xml:space="preserve"> в группе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Уточнение метода упорядоченных диаграмм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Учет нагрузочной способности элементов системы </w:t>
      </w:r>
      <w:proofErr w:type="spellStart"/>
      <w:r>
        <w:t>электроснабже</w:t>
      </w:r>
      <w:proofErr w:type="spellEnd"/>
      <w:r>
        <w:t xml:space="preserve"> </w:t>
      </w:r>
      <w:proofErr w:type="spellStart"/>
      <w:r>
        <w:t>ния</w:t>
      </w:r>
      <w:proofErr w:type="spellEnd"/>
      <w:r>
        <w:t xml:space="preserve"> при определении расчетной нагрузки статистическим методом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Учет реальной постоянной времени нагрева при определении расчетной нагрузки методом упорядоченных диаграмм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>Пиковая нагрузка приемников и потребителей электроэнергии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lastRenderedPageBreak/>
        <w:t xml:space="preserve">Определение расхода и потерь электроэнергии потребителей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>Определение расхода активной энергии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Определение расхода реактивной энергии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Определение потерь мощности и энергии в системах Электроснабжения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Пути снижения потерь мощности и энергии в элементах систем электроснабжения потребителя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Влияние качества электроэнергии на работу </w:t>
      </w:r>
      <w:proofErr w:type="spellStart"/>
      <w:r>
        <w:t>электроприемника</w:t>
      </w:r>
      <w:proofErr w:type="spellEnd"/>
      <w:r>
        <w:t xml:space="preserve">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>Влияние отклонений напряжения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Влияние колебаний напряжения 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 xml:space="preserve">Влияние </w:t>
      </w:r>
      <w:proofErr w:type="spellStart"/>
      <w:r>
        <w:t>несимметрии</w:t>
      </w:r>
      <w:proofErr w:type="spellEnd"/>
      <w:r>
        <w:t xml:space="preserve"> напряжений</w:t>
      </w:r>
    </w:p>
    <w:p w:rsidR="00DA55E5" w:rsidRDefault="00DA55E5" w:rsidP="00DA55E5">
      <w:pPr>
        <w:pStyle w:val="a3"/>
        <w:numPr>
          <w:ilvl w:val="0"/>
          <w:numId w:val="4"/>
        </w:numPr>
        <w:spacing w:line="360" w:lineRule="auto"/>
        <w:ind w:left="0" w:firstLine="360"/>
        <w:jc w:val="both"/>
      </w:pPr>
      <w:r>
        <w:t>Влияние отклонения частоты</w:t>
      </w:r>
    </w:p>
    <w:p w:rsidR="005B70E6" w:rsidRDefault="002652A2"/>
    <w:sectPr w:rsidR="005B70E6" w:rsidSect="005E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A1"/>
    <w:multiLevelType w:val="hybridMultilevel"/>
    <w:tmpl w:val="6E984E50"/>
    <w:lvl w:ilvl="0" w:tplc="718CA5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268E"/>
    <w:multiLevelType w:val="hybridMultilevel"/>
    <w:tmpl w:val="F1F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5B2F"/>
    <w:multiLevelType w:val="hybridMultilevel"/>
    <w:tmpl w:val="631248E6"/>
    <w:lvl w:ilvl="0" w:tplc="DA36FA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9EB"/>
    <w:multiLevelType w:val="hybridMultilevel"/>
    <w:tmpl w:val="1050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261F"/>
    <w:multiLevelType w:val="hybridMultilevel"/>
    <w:tmpl w:val="10503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5E5"/>
    <w:rsid w:val="00242D57"/>
    <w:rsid w:val="002652A2"/>
    <w:rsid w:val="00281CE0"/>
    <w:rsid w:val="005E0F7E"/>
    <w:rsid w:val="00C03522"/>
    <w:rsid w:val="00DA55E5"/>
    <w:rsid w:val="00F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92BE"/>
  <w15:docId w15:val="{50668E8E-4534-4935-A89E-D888507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E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A55E5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55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A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A55E5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A5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Windows User</cp:lastModifiedBy>
  <cp:revision>3</cp:revision>
  <dcterms:created xsi:type="dcterms:W3CDTF">2017-06-29T17:12:00Z</dcterms:created>
  <dcterms:modified xsi:type="dcterms:W3CDTF">2019-03-05T17:54:00Z</dcterms:modified>
</cp:coreProperties>
</file>