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18211328"/>
        <w:docPartObj>
          <w:docPartGallery w:val="Table of Contents"/>
          <w:docPartUnique/>
        </w:docPartObj>
      </w:sdtPr>
      <w:sdtEndPr/>
      <w:sdtContent>
        <w:p w:rsidR="00DA2732" w:rsidRPr="00DA2732" w:rsidRDefault="00DA2732" w:rsidP="00DA2732">
          <w:pPr>
            <w:pStyle w:val="af4"/>
            <w:jc w:val="center"/>
            <w:rPr>
              <w:rFonts w:ascii="Times New Roman" w:hAnsi="Times New Roman" w:cs="Times New Roman"/>
              <w:color w:val="auto"/>
            </w:rPr>
          </w:pPr>
          <w:r w:rsidRPr="00DA2732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DA2732" w:rsidRPr="00DA2732" w:rsidRDefault="00DA2732" w:rsidP="00DA2732">
          <w:pP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bookmarkStart w:id="0" w:name="_GoBack"/>
        </w:p>
        <w:bookmarkEnd w:id="0"/>
        <w:p w:rsidR="00DA2732" w:rsidRPr="00DA2732" w:rsidRDefault="00DA2732" w:rsidP="00DA2732">
          <w:pP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DA2732" w:rsidRPr="00DA2732" w:rsidRDefault="00DA273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A2732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DA2732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DA2732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7333904" w:history="1">
            <w:r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</w:t>
            </w:r>
            <w:r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Дневник преддипломной практики</w:t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_Toc7333904 \h </w:instrText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2732" w:rsidRPr="00DA2732" w:rsidRDefault="00ED476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33905" w:history="1">
            <w:r w:rsidR="00DA2732"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II</w:t>
            </w:r>
            <w:r w:rsidR="00DA2732"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Анализ ООО «Контакт+», как субъекта финансово-хозяйственной деятельности</w: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_Toc7333905 \h </w:instrTex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2732" w:rsidRPr="00DA2732" w:rsidRDefault="00DA273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Style w:val="af"/>
              <w:rFonts w:ascii="Times New Roman" w:hAnsi="Times New Roman" w:cs="Times New Roman"/>
              <w:noProof/>
              <w:color w:val="auto"/>
              <w:sz w:val="28"/>
              <w:szCs w:val="28"/>
              <w:lang w:val="en-US"/>
            </w:rPr>
            <w:t>I</w:t>
          </w:r>
          <w:hyperlink w:anchor="_Toc7333906" w:history="1">
            <w:r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II</w:t>
            </w:r>
            <w:r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Изучение особенностей отражения информации доходов, расходов и финансовых результатов организации в бухгалтерской отчетности</w:t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_Toc7333906 \h </w:instrText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2732" w:rsidRPr="00DA2732" w:rsidRDefault="00ED476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33907" w:history="1">
            <w:r w:rsidR="00DA2732"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IV</w:t>
            </w:r>
            <w:r w:rsidR="00DA2732"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Проведение и оценка анализа влияния доходов и расходов на финансовые результаты</w: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_Toc7333907 \h </w:instrTex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2732" w:rsidRPr="00DA2732" w:rsidRDefault="00ED476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33908" w:history="1">
            <w:r w:rsidR="00DA2732"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VII</w:t>
            </w:r>
            <w:r w:rsidR="00DA2732"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Разработка рекомендаций по оптимизации расходов</w: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_Toc7333908 \h </w:instrTex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2732" w:rsidRPr="00DA2732" w:rsidRDefault="00ED476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33909" w:history="1">
            <w:r w:rsidR="00DA2732"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_Toc7333909 \h </w:instrTex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2732" w:rsidRPr="00DA2732" w:rsidRDefault="00ED476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hyperlink w:anchor="_Toc7333910" w:history="1">
            <w:r w:rsidR="00DA2732" w:rsidRPr="00DA2732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ИСПОЛЬЗОВАННОЙ ЛИТЕРАТУРЫ</w: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_Toc7333910 \h </w:instrTex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DA2732" w:rsidRPr="00DA27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2732" w:rsidRDefault="00DA2732">
          <w:r w:rsidRPr="00DA273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A2732" w:rsidRDefault="00DA2732" w:rsidP="00F755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4E" w:rsidRDefault="0012014E" w:rsidP="0012014E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" w:name="_Toc7333905"/>
    </w:p>
    <w:p w:rsidR="0012014E" w:rsidRDefault="0012014E" w:rsidP="0012014E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2014E" w:rsidRDefault="0012014E" w:rsidP="0012014E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2014E" w:rsidRDefault="0012014E" w:rsidP="0012014E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2014E" w:rsidRDefault="0012014E" w:rsidP="0012014E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2014E" w:rsidRDefault="0012014E" w:rsidP="0012014E"/>
    <w:p w:rsidR="0012014E" w:rsidRPr="0012014E" w:rsidRDefault="0012014E" w:rsidP="0012014E"/>
    <w:p w:rsidR="0012014E" w:rsidRDefault="0012014E" w:rsidP="0012014E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2014E" w:rsidRDefault="0012014E" w:rsidP="0012014E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2014E" w:rsidRDefault="0012014E" w:rsidP="0012014E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2014E" w:rsidRDefault="0012014E" w:rsidP="0012014E"/>
    <w:p w:rsidR="0012014E" w:rsidRPr="0012014E" w:rsidRDefault="0012014E" w:rsidP="0012014E"/>
    <w:p w:rsidR="00042E85" w:rsidRPr="00DA2732" w:rsidRDefault="00CF244E" w:rsidP="0012014E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273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II</w:t>
      </w:r>
      <w:r w:rsidRPr="00DA27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042E85" w:rsidRPr="00DA2732">
        <w:rPr>
          <w:rFonts w:ascii="Times New Roman" w:hAnsi="Times New Roman" w:cs="Times New Roman"/>
          <w:b/>
          <w:color w:val="auto"/>
          <w:sz w:val="28"/>
          <w:szCs w:val="28"/>
        </w:rPr>
        <w:t>Анализ ООО «Контакт+», как субъекта финан</w:t>
      </w:r>
      <w:r w:rsidR="00FA2AB9" w:rsidRPr="00DA2732">
        <w:rPr>
          <w:rFonts w:ascii="Times New Roman" w:hAnsi="Times New Roman" w:cs="Times New Roman"/>
          <w:b/>
          <w:color w:val="auto"/>
          <w:sz w:val="28"/>
          <w:szCs w:val="28"/>
        </w:rPr>
        <w:t>сово-хозяйственной деятельности</w:t>
      </w:r>
      <w:bookmarkEnd w:id="1"/>
    </w:p>
    <w:p w:rsidR="00FA2AB9" w:rsidRPr="0012014E" w:rsidRDefault="00FA2AB9" w:rsidP="00DA2732">
      <w:pPr>
        <w:pStyle w:val="a4"/>
        <w:contextualSpacing/>
        <w:rPr>
          <w:sz w:val="28"/>
          <w:szCs w:val="28"/>
        </w:rPr>
      </w:pPr>
    </w:p>
    <w:p w:rsidR="00FA2AB9" w:rsidRDefault="00042E85" w:rsidP="00FA2AB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«Контакт+» зарегистрировано 8 октября 2010 года. Юридический адрес организации: 172523, Тверская область, г. Нелидово, ул. Первомайская, дом 44. У ООО «Контакт+» один учредитель, он же генеральный директор организации, его размер доли в уставном капитале – 100%, общая стоимость доли – 400 000 рублей. Основным видом деятельности ООО «Контакт+» является строительство жилых и нежилых зданий (ОКВЭД 41.2). Дополнительные виды деятельности:</w:t>
      </w:r>
    </w:p>
    <w:p w:rsidR="00FA2AB9" w:rsidRDefault="00042E85" w:rsidP="00FA2AB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производство прочих деревянных строительных конструкций и с</w:t>
      </w:r>
      <w:r w:rsidR="00FA2AB9">
        <w:rPr>
          <w:rFonts w:ascii="Times New Roman" w:hAnsi="Times New Roman" w:cs="Times New Roman"/>
          <w:sz w:val="28"/>
          <w:szCs w:val="28"/>
        </w:rPr>
        <w:t>толярных изделий (ОКВЭД 16.23);</w:t>
      </w:r>
    </w:p>
    <w:p w:rsidR="00FA2AB9" w:rsidRDefault="00042E85" w:rsidP="00FA2AB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подготовка строи</w:t>
      </w:r>
      <w:r w:rsidR="00FA2AB9">
        <w:rPr>
          <w:rFonts w:ascii="Times New Roman" w:hAnsi="Times New Roman" w:cs="Times New Roman"/>
          <w:sz w:val="28"/>
          <w:szCs w:val="28"/>
        </w:rPr>
        <w:t>тельной площадки (ОКВЭД 43.12);</w:t>
      </w:r>
    </w:p>
    <w:p w:rsidR="00FA2AB9" w:rsidRDefault="00042E85" w:rsidP="00FA2AB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производство электромонтажных, санитарно-технических и прочих строительн</w:t>
      </w:r>
      <w:r w:rsidR="00FA2AB9">
        <w:rPr>
          <w:rFonts w:ascii="Times New Roman" w:hAnsi="Times New Roman" w:cs="Times New Roman"/>
          <w:sz w:val="28"/>
          <w:szCs w:val="28"/>
        </w:rPr>
        <w:t>о-монтажных работ (ОКВЭД 43.2);</w:t>
      </w:r>
    </w:p>
    <w:p w:rsidR="00FA2AB9" w:rsidRDefault="00042E85" w:rsidP="00FA2AB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торговля оптовая неспециализированная (ОКВЭД 46.90)</w:t>
      </w:r>
      <w:r>
        <w:rPr>
          <w:rStyle w:val="a9"/>
          <w:sz w:val="28"/>
          <w:szCs w:val="28"/>
        </w:rPr>
        <w:footnoteReference w:id="1"/>
      </w:r>
      <w:r w:rsidR="00FA2AB9">
        <w:rPr>
          <w:rFonts w:ascii="Times New Roman" w:hAnsi="Times New Roman" w:cs="Times New Roman"/>
          <w:sz w:val="28"/>
          <w:szCs w:val="28"/>
        </w:rPr>
        <w:t>.</w:t>
      </w:r>
    </w:p>
    <w:p w:rsidR="00042E85" w:rsidRDefault="00042E85" w:rsidP="00FA2AB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 представлена организационная структура предприятия по состоянию на 31.12.2018 г. Организационная структура неизменна с 2015 года. Расширение штата идет не за счет добавления новых должностей, а за счет увеличения числа штатных единиц.</w:t>
      </w:r>
    </w:p>
    <w:p w:rsidR="00042E85" w:rsidRDefault="00042E85" w:rsidP="00042E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838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32" w:rsidRDefault="00042E85" w:rsidP="00DA27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Стр</w:t>
      </w:r>
      <w:r w:rsidR="00DA2732">
        <w:rPr>
          <w:rFonts w:ascii="Times New Roman" w:hAnsi="Times New Roman" w:cs="Times New Roman"/>
          <w:sz w:val="28"/>
          <w:szCs w:val="28"/>
        </w:rPr>
        <w:t>уктура управления ООО «Контакт+»</w:t>
      </w:r>
    </w:p>
    <w:p w:rsidR="00FA2AB9" w:rsidRDefault="00042E85" w:rsidP="00FA2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организационная структура является линейно-иерархической, что характерно для микро- и малых предприятий. Данная структура позволяет руководству ООО «Контакт+» эффективно управлять небольшим штатом (32 человека по данным на 31.12.2018), не вводя дополнительные должности и не дублируя управленческие функции. Однако такой тип управления имеет свои недостатки. Применительно к ООО «Контакт+» были выявлены следующие недостатки структуры:</w:t>
      </w:r>
    </w:p>
    <w:p w:rsidR="00FA2AB9" w:rsidRDefault="00042E85" w:rsidP="00FA2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нерацио</w:t>
      </w:r>
      <w:r w:rsidR="00FA2AB9">
        <w:rPr>
          <w:rFonts w:ascii="Times New Roman" w:hAnsi="Times New Roman" w:cs="Times New Roman"/>
          <w:sz w:val="28"/>
          <w:szCs w:val="28"/>
        </w:rPr>
        <w:t>нальных информационных потоков;</w:t>
      </w:r>
    </w:p>
    <w:p w:rsidR="00FA2AB9" w:rsidRDefault="00042E85" w:rsidP="00FA2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чрезмерная централизация операти</w:t>
      </w:r>
      <w:r w:rsidR="00FA2AB9">
        <w:rPr>
          <w:rFonts w:ascii="Times New Roman" w:hAnsi="Times New Roman" w:cs="Times New Roman"/>
          <w:sz w:val="28"/>
          <w:szCs w:val="28"/>
        </w:rPr>
        <w:t>вного управления производством;</w:t>
      </w:r>
    </w:p>
    <w:p w:rsidR="00FA2AB9" w:rsidRDefault="00042E85" w:rsidP="00FA2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отсутствие необходимых при данном типе структуры нормативных</w:t>
      </w:r>
      <w:r w:rsidR="00FA2AB9">
        <w:rPr>
          <w:rFonts w:ascii="Times New Roman" w:hAnsi="Times New Roman" w:cs="Times New Roman"/>
          <w:sz w:val="28"/>
          <w:szCs w:val="28"/>
        </w:rPr>
        <w:t xml:space="preserve"> и регламентирующих документов.</w:t>
      </w:r>
    </w:p>
    <w:p w:rsidR="00FA2AB9" w:rsidRDefault="00042E85" w:rsidP="00FA2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показывает, что в ООО «Контакт+» имеются три уровня подчинения, отсутствует перекрестное подчинение и дублирование управленческих функций. Это позволяет оперативно осуществлять управление</w:t>
      </w:r>
      <w:r w:rsidR="00FA2AB9">
        <w:rPr>
          <w:rFonts w:ascii="Times New Roman" w:hAnsi="Times New Roman" w:cs="Times New Roman"/>
          <w:sz w:val="28"/>
          <w:szCs w:val="28"/>
        </w:rPr>
        <w:t xml:space="preserve"> в условиях малого предприятия.</w:t>
      </w:r>
    </w:p>
    <w:p w:rsidR="00042E85" w:rsidRDefault="00042E85" w:rsidP="00FA2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финансовой документации позволил определить динамику основных финансовых показателей ООО «Контакт+» за период с 2016 по </w:t>
      </w:r>
      <w:r>
        <w:rPr>
          <w:rFonts w:ascii="Times New Roman" w:hAnsi="Times New Roman" w:cs="Times New Roman"/>
          <w:sz w:val="28"/>
          <w:szCs w:val="28"/>
        </w:rPr>
        <w:lastRenderedPageBreak/>
        <w:t>2018 гг. Данные по показателям баланса, выручки и прибыли представлены в таб</w:t>
      </w:r>
      <w:r w:rsidR="00FA2AB9">
        <w:rPr>
          <w:rFonts w:ascii="Times New Roman" w:hAnsi="Times New Roman" w:cs="Times New Roman"/>
          <w:sz w:val="28"/>
          <w:szCs w:val="28"/>
        </w:rPr>
        <w:t>лице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E85" w:rsidRDefault="00FA2AB9" w:rsidP="00042E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42E85">
        <w:rPr>
          <w:rFonts w:ascii="Times New Roman" w:hAnsi="Times New Roman" w:cs="Times New Roman"/>
          <w:sz w:val="28"/>
          <w:szCs w:val="28"/>
        </w:rPr>
        <w:t xml:space="preserve"> – Основные финансовые показатели за 2016–2018  гг.,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42E85" w:rsidRPr="00E3138D" w:rsidTr="00042E85"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37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42E85" w:rsidRPr="00E3138D" w:rsidTr="00042E85">
        <w:tc>
          <w:tcPr>
            <w:tcW w:w="2336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E85" w:rsidRPr="00E3138D" w:rsidTr="00042E85"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7 158</w:t>
            </w:r>
          </w:p>
        </w:tc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21 447</w:t>
            </w:r>
          </w:p>
        </w:tc>
        <w:tc>
          <w:tcPr>
            <w:tcW w:w="2337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22 790</w:t>
            </w:r>
          </w:p>
        </w:tc>
      </w:tr>
      <w:tr w:rsidR="00042E85" w:rsidRPr="00E3138D" w:rsidTr="00042E85"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25 056</w:t>
            </w:r>
          </w:p>
        </w:tc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12 475</w:t>
            </w:r>
          </w:p>
        </w:tc>
        <w:tc>
          <w:tcPr>
            <w:tcW w:w="2337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115 419</w:t>
            </w:r>
          </w:p>
        </w:tc>
      </w:tr>
      <w:tr w:rsidR="00042E85" w:rsidRPr="00E3138D" w:rsidTr="00042E85"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2 315</w:t>
            </w:r>
          </w:p>
        </w:tc>
        <w:tc>
          <w:tcPr>
            <w:tcW w:w="2336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5 107</w:t>
            </w:r>
          </w:p>
        </w:tc>
        <w:tc>
          <w:tcPr>
            <w:tcW w:w="2337" w:type="dxa"/>
          </w:tcPr>
          <w:p w:rsidR="00042E85" w:rsidRPr="00E3138D" w:rsidRDefault="00042E85" w:rsidP="00042E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10 451</w:t>
            </w:r>
          </w:p>
        </w:tc>
      </w:tr>
    </w:tbl>
    <w:p w:rsidR="00042E85" w:rsidRDefault="00042E85" w:rsidP="00042E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2E85" w:rsidRDefault="00FA2AB9" w:rsidP="00042E8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в таблице 1</w:t>
      </w:r>
      <w:r w:rsidR="00042E85">
        <w:rPr>
          <w:rFonts w:ascii="Times New Roman" w:hAnsi="Times New Roman" w:cs="Times New Roman"/>
          <w:sz w:val="28"/>
          <w:szCs w:val="28"/>
        </w:rPr>
        <w:t xml:space="preserve"> данные свидетельствуют о том, что в указанный период </w:t>
      </w:r>
      <w:r w:rsidR="00042E85" w:rsidRPr="000C7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валюта баланса выросла </w:t>
      </w:r>
      <w:r w:rsidR="00042E85">
        <w:rPr>
          <w:rFonts w:ascii="Times New Roman" w:hAnsi="Times New Roman" w:cs="Times New Roman"/>
          <w:sz w:val="28"/>
          <w:szCs w:val="28"/>
        </w:rPr>
        <w:t xml:space="preserve">на 14 298 тыс. руб. (прирост составил 199,6%) в 2017 году по отношению к 2018 году, рост продолжился в 2018 году и составил 1 347 тыс. руб. по отношению к 2017 году (прирост составил 6,26%). Динамика </w:t>
      </w:r>
      <w:r w:rsidR="00042E85" w:rsidRPr="000C7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валюты баланса </w:t>
      </w:r>
      <w:r w:rsidR="00042E85">
        <w:rPr>
          <w:rFonts w:ascii="Times New Roman" w:hAnsi="Times New Roman" w:cs="Times New Roman"/>
          <w:sz w:val="28"/>
          <w:szCs w:val="28"/>
        </w:rPr>
        <w:t>представлена на рисунке 2.</w:t>
      </w: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6C4ED" wp14:editId="08CDA366">
            <wp:extent cx="5457825" cy="3105150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 Динамика </w:t>
      </w:r>
      <w:r w:rsidRPr="000C7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валюты баланса </w:t>
      </w:r>
      <w:r>
        <w:rPr>
          <w:rFonts w:ascii="Times New Roman" w:hAnsi="Times New Roman" w:cs="Times New Roman"/>
          <w:sz w:val="28"/>
          <w:szCs w:val="28"/>
        </w:rPr>
        <w:t>в 2016-2018 гг., тыс. руб.</w:t>
      </w:r>
    </w:p>
    <w:p w:rsidR="00042E85" w:rsidRDefault="00042E85" w:rsidP="00042E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показателей выручки, то в 2017 году выручка упала по отношению к 2016 году на 12 581 тыс. руб. (падение составило 50,21%), однако в 2018 году произошел скачок роста показателей выручки,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связано с появлением у ООО «Контакт+» новых контрагентов и успешным завершением ряда крупных контрактов. В 2018 году прирост выручки по отношению к 2017 году составил 102 944 тыс. руб. (825,2%). Графически динамика изменения показателей выручки представлена на рисунке 3.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237BA" wp14:editId="7420B2D5">
            <wp:extent cx="5057775" cy="25431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 Динамика выручки в 2016-2018 гг., тыс. руб.</w:t>
      </w:r>
    </w:p>
    <w:p w:rsidR="00042E85" w:rsidRDefault="00042E85" w:rsidP="00042E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2E85" w:rsidRPr="00347390" w:rsidRDefault="00042E85" w:rsidP="00042E85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показателей прибыли свидетельствует о постепенном росте прибыли ООО «Контакт+» с 2016 по 2018 гг. Так, в 2017 году прибыль выросла на 2 792 тыс. руб. по отношению к 2016 году (прирост составил 120,6%), в 2018 году прибыль выросла на 5 344 тыс. руб. по отношению к 2017 году (прирост составил 104,6%). В 2017 году отмечался рост прибыли, несмотря на падение выручки, что связано со снижением расходов ООО «Контакт+», работавшей в 2017 году в режиме экономии.</w:t>
      </w:r>
    </w:p>
    <w:p w:rsidR="00042E85" w:rsidRDefault="00042E85" w:rsidP="00042E85">
      <w:pPr>
        <w:pStyle w:val="a4"/>
        <w:jc w:val="left"/>
        <w:rPr>
          <w:sz w:val="28"/>
          <w:szCs w:val="28"/>
        </w:rPr>
      </w:pPr>
    </w:p>
    <w:p w:rsidR="00042E85" w:rsidRDefault="00042E85" w:rsidP="00CF244E">
      <w:pPr>
        <w:pStyle w:val="a4"/>
        <w:rPr>
          <w:sz w:val="28"/>
          <w:szCs w:val="28"/>
        </w:rPr>
      </w:pPr>
    </w:p>
    <w:p w:rsidR="00042E85" w:rsidRDefault="00042E85" w:rsidP="00CF244E">
      <w:pPr>
        <w:pStyle w:val="a4"/>
        <w:rPr>
          <w:sz w:val="28"/>
          <w:szCs w:val="28"/>
        </w:rPr>
      </w:pPr>
    </w:p>
    <w:p w:rsidR="00042E85" w:rsidRDefault="00042E85" w:rsidP="00CF244E">
      <w:pPr>
        <w:pStyle w:val="a4"/>
        <w:rPr>
          <w:sz w:val="28"/>
          <w:szCs w:val="28"/>
        </w:rPr>
      </w:pPr>
    </w:p>
    <w:p w:rsidR="00042E85" w:rsidRDefault="00042E85" w:rsidP="00CF244E">
      <w:pPr>
        <w:pStyle w:val="a4"/>
        <w:rPr>
          <w:sz w:val="28"/>
          <w:szCs w:val="28"/>
        </w:rPr>
      </w:pPr>
    </w:p>
    <w:p w:rsidR="00042E85" w:rsidRDefault="00042E85" w:rsidP="00CF244E">
      <w:pPr>
        <w:pStyle w:val="a4"/>
        <w:rPr>
          <w:sz w:val="28"/>
          <w:szCs w:val="28"/>
        </w:rPr>
      </w:pPr>
    </w:p>
    <w:p w:rsidR="00042E85" w:rsidRDefault="00042E85" w:rsidP="00CF244E">
      <w:pPr>
        <w:pStyle w:val="a4"/>
        <w:rPr>
          <w:sz w:val="28"/>
          <w:szCs w:val="28"/>
        </w:rPr>
      </w:pPr>
    </w:p>
    <w:p w:rsidR="00042E85" w:rsidRDefault="00042E85" w:rsidP="00CF244E">
      <w:pPr>
        <w:pStyle w:val="a4"/>
        <w:rPr>
          <w:sz w:val="28"/>
          <w:szCs w:val="28"/>
        </w:rPr>
      </w:pPr>
    </w:p>
    <w:p w:rsidR="00FA2AB9" w:rsidRDefault="00FA2AB9" w:rsidP="00CF244E">
      <w:pPr>
        <w:pStyle w:val="a4"/>
        <w:rPr>
          <w:sz w:val="28"/>
          <w:szCs w:val="28"/>
        </w:rPr>
      </w:pPr>
    </w:p>
    <w:p w:rsidR="00FA2AB9" w:rsidRDefault="00FA2AB9" w:rsidP="00DA2732">
      <w:pPr>
        <w:pStyle w:val="a4"/>
        <w:jc w:val="left"/>
        <w:rPr>
          <w:sz w:val="28"/>
          <w:szCs w:val="28"/>
        </w:rPr>
      </w:pPr>
    </w:p>
    <w:p w:rsidR="00CF244E" w:rsidRPr="00DA2732" w:rsidRDefault="00FA2AB9" w:rsidP="00DA27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7333906"/>
      <w:r w:rsidRPr="00DA273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</w:t>
      </w:r>
      <w:r w:rsidR="00DA273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DA273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DA27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CF244E" w:rsidRPr="00DA2732">
        <w:rPr>
          <w:rFonts w:ascii="Times New Roman" w:hAnsi="Times New Roman" w:cs="Times New Roman"/>
          <w:b/>
          <w:color w:val="auto"/>
          <w:sz w:val="28"/>
          <w:szCs w:val="28"/>
        </w:rPr>
        <w:t>Изучение особенностей отражения информации доходов, расходов и финансовых результатов организации в бухгалтерской отчетности</w:t>
      </w:r>
      <w:bookmarkEnd w:id="2"/>
    </w:p>
    <w:p w:rsidR="00FA2AB9" w:rsidRPr="00DA2732" w:rsidRDefault="00FA2AB9" w:rsidP="00FA2AB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AB9" w:rsidRPr="00FA2AB9" w:rsidRDefault="00FA2AB9" w:rsidP="00FA2AB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2AB9" w:rsidRDefault="0003673F" w:rsidP="00036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Учет доходов </w:t>
      </w:r>
      <w:r w:rsidR="00FA2AB9">
        <w:rPr>
          <w:rFonts w:ascii="Times New Roman" w:hAnsi="Times New Roman" w:cs="Times New Roman"/>
          <w:sz w:val="28"/>
          <w:szCs w:val="28"/>
        </w:rPr>
        <w:t xml:space="preserve">в ООО «Контакт+» </w:t>
      </w:r>
      <w:r>
        <w:rPr>
          <w:rFonts w:ascii="Times New Roman" w:hAnsi="Times New Roman" w:cs="Times New Roman"/>
          <w:sz w:val="28"/>
          <w:szCs w:val="28"/>
        </w:rPr>
        <w:t>производится в соответствии с их классификацией по группам:</w:t>
      </w:r>
    </w:p>
    <w:p w:rsidR="00FA2AB9" w:rsidRDefault="00FA2AB9" w:rsidP="00036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3673F">
        <w:rPr>
          <w:rFonts w:ascii="Times New Roman" w:hAnsi="Times New Roman" w:cs="Times New Roman"/>
          <w:sz w:val="28"/>
          <w:szCs w:val="28"/>
        </w:rPr>
        <w:t>– доходы от обычных видов деятельности: выручка от продажи продукции и товаров, от выполнения работ и оказания услуг;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операционные доходы, к которым относятся, например, прибыль от результатов совместной деятельности, проценты за пользование денежными средствами организации и т. д.;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внереализационные доходы, к которым относятся, например, полученные безвозмездно активы, штрафы и неустойки за нарушение условий договоров и т. д.;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чрезвычайные доходы, возникающие как последствия чрезвычайных обстоятельств хозяйственной деятельности, таких как пожар, наводнение и     т. д. в виде страхового возмещения или стоимости материальных ценностей, остающихся от списания непригодных для восстановления и дальнейшего использования активов. 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расходов организации, то расходы – это затраты в процессе хозяйственной деятельности, которые приводят к уменьшению средств организации или увеличению его долговых обязательств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 Учет расходов производится в соответствии со следующей классификацией: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расходы по обычным видам деятельности, которые либо связаны с приобретением материальных производственных запасов, либо возникают непосредственно в процессе производства продукции;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операционные расходы, которые могут быть связаны, например, с временным владением и пользованием активов организации, с участием 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уставных капиталах других организаций, налогами на рекламу и имущество и т. д.;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внереализационные, такие как убытки прошлых лет, выявленные в отчетном году, суммы уценки актива и т. д.;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чрезвычайные, т. е. возникающие как последствия чрезвычайных обстоятельств хозяйственной деятельности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ведении бухгалтерского учета доходов и расходов организации необходимо соблюдение следующих основных принципов: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объективности, согласно которому все хозяйственные операции отображаются методом сплошной записи на счетах;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двойной записи, согласно которому требуется одновременное отображение в дебете одного счета и кредите другого счета любого движения активов и пассивов организации;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начислений, который требует отображения информации в учете по мере возникновения в том отчетном периоде, когда была совершена операция, а не по факту оплаты;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соответствия, требующий соотнесения доходов и расходов организации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Налоговое законодательство также требует соблюдения ряда принципов учета доходов и расходов организации: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непрерывности, согласно которого учет ведется непрерывно с момента регистрации организации и до даты снятия ее с учета;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временной определенности, согласно которому учет доходов и расходов может вестись как кассовым способом, так и методом начисления;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обоснованности признания доходов и расходов, который подразумевает наличие экономически оправданных и документально подтвержденных трат, чтобы налогоплательщик в случае необходимости мог </w:t>
      </w:r>
      <w:r>
        <w:rPr>
          <w:rFonts w:ascii="Times New Roman" w:hAnsi="Times New Roman" w:cs="Times New Roman"/>
          <w:sz w:val="28"/>
          <w:szCs w:val="28"/>
        </w:rPr>
        <w:lastRenderedPageBreak/>
        <w:t>доказать их обоснованность в соответствии с нормами делового оборота и законодательства;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равномерного признания доходов и расходов, согласно которому расходы распределяются равномерно, если договор предусматривает получение доходов на протяжении более чем одного отчетного периода, а поэтапная сдача товаров, работ или услуг отсутствует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для бухгалтерского учета доходов и расходов </w:t>
      </w:r>
      <w:r w:rsidR="00FA2AB9">
        <w:rPr>
          <w:rFonts w:ascii="Times New Roman" w:hAnsi="Times New Roman" w:cs="Times New Roman"/>
          <w:sz w:val="28"/>
          <w:szCs w:val="28"/>
        </w:rPr>
        <w:t xml:space="preserve">ООО «Контакт+» </w:t>
      </w:r>
      <w:r>
        <w:rPr>
          <w:rFonts w:ascii="Times New Roman" w:hAnsi="Times New Roman" w:cs="Times New Roman"/>
          <w:sz w:val="28"/>
          <w:szCs w:val="28"/>
        </w:rPr>
        <w:t>является Федеральный закон «О бухгалтерском учете»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, а также нормы ПБУ 9/99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10/99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 Учет осуществляется методом двойной записи с использованием соответствующих счетов. Счета утверждены приказом Минфина №94н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  <w:r w:rsidRPr="008F7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Ведущаяся по каждому виду доходов и расходов аналитика позволяет определить финансовый результат не только в целом, но и по каждой отдельной операции.</w:t>
      </w:r>
      <w:r w:rsidR="00FA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доходах и расходах, полученных от обычных видов деятельности, обобщаются на счете 90 «Продажи» со следующими субсчетами: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90.1 «Выручка» (учитывает доходы, признаваемые выручкой»);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90.2 «Себестоимость» (учитывает затраты);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90.3 «НДС» (учитывает налог, причитающийся к получению от покупателей);</w:t>
      </w:r>
    </w:p>
    <w:p w:rsidR="0003673F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90.4 «Акцизы» (учитывает сумму акцизов при реализации акцизной продукции).</w:t>
      </w:r>
    </w:p>
    <w:p w:rsidR="00FA2AB9" w:rsidRDefault="0003673F" w:rsidP="00036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2AB9">
        <w:rPr>
          <w:rFonts w:ascii="Times New Roman" w:hAnsi="Times New Roman" w:cs="Times New Roman"/>
          <w:sz w:val="28"/>
          <w:szCs w:val="28"/>
        </w:rPr>
        <w:t>ООО «Контакт+»  также открывает</w:t>
      </w:r>
      <w:r>
        <w:rPr>
          <w:rFonts w:ascii="Times New Roman" w:hAnsi="Times New Roman" w:cs="Times New Roman"/>
          <w:sz w:val="28"/>
          <w:szCs w:val="28"/>
        </w:rPr>
        <w:t xml:space="preserve"> к счету 90 и другие субсчета с целью учета иных расходов. Финансовый результат, являющийся разницей между выручкой и себестоимостью, учитывается на субсчете 90.9 «Прибыль/убыток от продаж». По итогам отчетного месяца выводится результат деятельности организации путем сопоставления дебетовых оборотов по субсчетам, открытым для учета затрат (90.2–90.8), с кредитовым оборотом по субсчету 90.1. 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доходы превышают расходы, выявленная сумма списывается проводкой «Дт 90.9 </w:t>
      </w:r>
      <w:r w:rsidR="00FA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 99». В случае, если расходы превышают доходы, то выявленная сумма списывается првоодкой «Дт 99 Кт 90.9». Сальдо по субсчетам накапливается в течение года, а в конце года счета закрываются внутренними проводками: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Дт 90.1 Кт 90.9 – списание сальдо субсчета «Выручка»;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Дт 90.9 Кт 90.2 (90.3, 90.4….90.8) – списание сальдо субсчетов затрат, НДС и иных статей, уменьшающих выручку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прочих доходов и расходов предполагает использование счета 91 «Прочие доходы и расходы». К этому счету также открываются субсчета. Перечень субсчетов к счету 91 выглядит следующим образом: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91.1 «Прочие доходы» (учет доходов, которые не относятся к основному виду деятельности)»;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91.</w:t>
      </w:r>
      <w:r w:rsidRPr="00AD5559">
        <w:rPr>
          <w:rFonts w:ascii="Times New Roman" w:hAnsi="Times New Roman" w:cs="Times New Roman"/>
          <w:sz w:val="28"/>
          <w:szCs w:val="28"/>
        </w:rPr>
        <w:t>2 «Прочие расходы» (учет постоянных издержек);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559">
        <w:rPr>
          <w:rFonts w:ascii="Times New Roman" w:hAnsi="Times New Roman" w:cs="Times New Roman"/>
          <w:sz w:val="28"/>
          <w:szCs w:val="28"/>
        </w:rPr>
        <w:t>– 91.9 «Сальдо прочих доходов и расходов» (выявление прибыли или убытка от операций, относящихся к иным видам деятельности)</w:t>
      </w:r>
      <w:r w:rsidRPr="00AD5559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Pr="00AD5559">
        <w:rPr>
          <w:rFonts w:ascii="Times New Roman" w:hAnsi="Times New Roman" w:cs="Times New Roman"/>
          <w:sz w:val="28"/>
          <w:szCs w:val="28"/>
        </w:rPr>
        <w:t>.</w:t>
      </w:r>
    </w:p>
    <w:p w:rsidR="0003673F" w:rsidRP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учету доходов и расходов от обычных видов деятельности бухгалтер в конце месяца сопоставляет сальдо счетов 91.1 и 91.2 и полученный результат списывает проводкой Дт 91.9 Кт 99 — при получении прибыли или Дт 99 Кт 91.9— убытка по итогам месяца. Субсчета закрываются по окончании года внутренними проводками.</w:t>
      </w:r>
      <w:r w:rsidRPr="00AD5559">
        <w:rPr>
          <w:rFonts w:ascii="Times New Roman" w:hAnsi="Times New Roman" w:cs="Times New Roman"/>
          <w:sz w:val="28"/>
          <w:szCs w:val="28"/>
        </w:rPr>
        <w:tab/>
      </w:r>
    </w:p>
    <w:p w:rsidR="00FA2AB9" w:rsidRDefault="00FA2AB9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Важнейшим </w:t>
      </w:r>
      <w:r w:rsidR="0003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документом учета является «Отчет о финансовых результатах», позволяющий судить об эффективности или неэффективности коммерческой деятельности организации. Отчет о финансовых результатах содержит следующие обязательные пункты: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выручка (за минусом НДС и акцизов отражается на счете 90 «Продажи»);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себестоимость продаж (сумма всех расходов по видам деятельности);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валовая прибыль (убыток), представляющая собой разницу между выручкой и себестоимостью продаж;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коммерческие расходы;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управленческие расходы;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прибыль (убыток) от продаж – разница между валовой прибылью и суммой коммерческих и управленческих расходов;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доходы от участия в других организациях;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проценты к получению (по долговым обязательствам);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проценты к уплате (по долговым обязательствам);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прочие доходы (штрафы, пени, неустойки за нарушение договоров и т. д.);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прочие расходы (продажа основных средств, убыток от обесценивания нематериальных активов и т. д.);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прибыль до налогообложения;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текущий налог на прибыль;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постоянные налоговые обязательства (активы);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изменение отложенных налоговых обязательств;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изменение отложенных налоговых активов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чистая прибыль (убыток);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результат от переоценки внеоборотных активов, не включаемый в чистую прибыль (убыток);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результат от прочих операций, не включаемый в чистую прибыль (убыток) периода;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прочее;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совокупный финансовый результат периода;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базовая прибыль (убыток) на акцию (только для акционерных обществ);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разводненная прибыль (убыток) на акцию (только для акционерных обществ).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 «Отчет о финансовых результатах» достаточно сложен и объемен, особенно для тех организаций, которые ведут активную деятельность с большим оборотом. Однако, в соответствии с Приказом Минфина №66н, организации, которые подпадают под упрощенную систему налогообложения, составляют отчет в упрощенной форме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12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этом не имеет значения форма собственности и численность персонала такой организации. 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Типы организаций, подпадающих под упрощенную систему налогообложения: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субъекты малого предпринимательства;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некоммерческие организации;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участники проекта «Сколково», проводящие исследования, разработки и коммерциализацию результатов разработок в соответствии с Федеральным законом № 224 «Об инновационном центре «Сколково»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Упрощенная форма требует включения в отчет гораздо меньшего количества данных, а именно: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выручка;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 обычные расходы (коммерческие и управленческие, плюс </w:t>
      </w:r>
      <w:r w:rsidRPr="00874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себестоимость продукции, товаров, услуг, работ);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4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проценты к уплате;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4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прочие расходы;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4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прочие доходы;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4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налог, взимаемый с прибыли (доходов);</w:t>
      </w:r>
    </w:p>
    <w:p w:rsidR="00FA2AB9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4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чистая величина прибыли (убытка).</w:t>
      </w:r>
    </w:p>
    <w:p w:rsidR="0003673F" w:rsidRDefault="0003673F" w:rsidP="00FA2AB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составлении отчета о финансовых результатах важно не только содержание, но и форма. </w:t>
      </w:r>
      <w:r w:rsidRPr="00944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Правительство РФ приняло постановление № 107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14"/>
      </w:r>
      <w:r w:rsidRPr="00944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положение регламентировало порядок признания этих стандартов для применения на территории России. Минфин России издал приказ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44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17н «О введении Международных стандартов финансовой отчетности и разъяснений Международных стандартов финансовой отчетности и о признании утратившими силу некоторых приказов (отдельных положений приказов) Министерства финансов Российской Федерации»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15"/>
      </w:r>
      <w:r w:rsidRPr="00944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Отличия международных стандартов отчетности МФСО и РСБУ представлены в Таблице 1. Глобальные отличия заключаются в концепции составления документации. Несмотря на то, что Министерство финансово планомерно работает над сближением с международными стандартами, но на 2019 года различия по-прежнему сохраняются. Эти различия, как уже было сказано ранее, проистекает из различия в целях составления бухгалтерской отчетности. </w:t>
      </w:r>
    </w:p>
    <w:p w:rsidR="009A0156" w:rsidRDefault="009A0156" w:rsidP="00DA273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673F" w:rsidRPr="009F3953" w:rsidRDefault="00FA2AB9" w:rsidP="0003673F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Таблица 2</w:t>
      </w:r>
      <w:r w:rsidR="0003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Сравнение финансовой отчетности  по доходам и расходам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3911"/>
        <w:gridCol w:w="3795"/>
      </w:tblGrid>
      <w:tr w:rsidR="0003673F" w:rsidRPr="008316F1" w:rsidTr="00FA2AB9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 учета или отчетности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стандарты финансовой отчетности (МСФО)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Российские стандарты бухгалтерского учета (РСБУ)</w:t>
            </w:r>
          </w:p>
        </w:tc>
      </w:tr>
      <w:tr w:rsidR="007C6DA2" w:rsidRPr="008316F1" w:rsidTr="00FA2AB9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C6DA2" w:rsidRPr="007C6DA2" w:rsidRDefault="007C6DA2" w:rsidP="00FA2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C6DA2" w:rsidRPr="007C6DA2" w:rsidRDefault="007C6DA2" w:rsidP="00FA2A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C6DA2" w:rsidRPr="007C6DA2" w:rsidRDefault="007C6DA2" w:rsidP="00DA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673F" w:rsidRPr="008316F1" w:rsidTr="00FA2AB9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доходов и расходов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бухгалтерском учете по МСФО операции отражаются с соблюдением принципа соответствия доходов и расходов. В финансовых отчетах расходы указаны в отчете о совокупном доходе.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соответствия доходов и расходов упоминается в ПБУ, но не используется на практике или нарушается. Также между этими принципами в РСБУ и международных стандартах есть существенные различия.</w:t>
            </w:r>
          </w:p>
        </w:tc>
      </w:tr>
      <w:tr w:rsidR="0003673F" w:rsidRPr="008316F1" w:rsidTr="00FA2AB9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отчетности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расходы, имущество и обязательства учитываются как одно целое благодаря тому, что отчетность формируется по всей группе взаимозависимых компаний: по материнской и дочерним организациям вместе.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консолидации отчетности в РСБУ размыто, каждая организация составляет свой баланс.</w:t>
            </w:r>
          </w:p>
        </w:tc>
      </w:tr>
      <w:tr w:rsidR="0003673F" w:rsidRPr="008316F1" w:rsidTr="00FA2AB9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инструменты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«обязательства» подлежит учету по справедливой стоимости. Компонент «капитал» учитывается как остаточная стоимость без возможности переоценки.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673F" w:rsidRPr="008316F1" w:rsidRDefault="0003673F" w:rsidP="00FA2A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балансе определяется итоговый расчет по операциям. Для конвертируемых инструментов общие специальные правила отсутствуют. Они могут быть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капиталом (акции), так и </w:t>
            </w: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обязательством (облигации).</w:t>
            </w:r>
          </w:p>
        </w:tc>
      </w:tr>
    </w:tbl>
    <w:p w:rsidR="0003673F" w:rsidRDefault="0003673F" w:rsidP="0003673F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0156" w:rsidRDefault="0003673F" w:rsidP="00DA2732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4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организация составляет отчет, то она сталкивается с тем, что МСФО допускает две формы отчета о прибылях и убытках, этому посвящ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ены статьи 99-105 МСФО (IAS)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16"/>
      </w:r>
      <w:r w:rsidRPr="00874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 </w:t>
      </w:r>
      <w:r w:rsidR="007C6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ООО «Контакт+» </w:t>
      </w:r>
      <w:r w:rsidRPr="00BA3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6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отталкивается</w:t>
      </w:r>
      <w:r w:rsidRPr="00BA3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того, в какой форме хотят видеть отчет заинтересованные лица.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этом порядок формирования финансовых результатов – строго регламентированная процедура, поскольку значение этих показателей, как ключевых показателей деятельности организации, очень велико.</w:t>
      </w:r>
    </w:p>
    <w:p w:rsidR="00DA2732" w:rsidRDefault="00DA2732" w:rsidP="00DA2732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2732" w:rsidRPr="00DA2732" w:rsidRDefault="00DA2732" w:rsidP="00DA2732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244E" w:rsidRPr="00CF244E" w:rsidRDefault="00CF244E" w:rsidP="00CF244E">
      <w:pPr>
        <w:pStyle w:val="a4"/>
        <w:jc w:val="left"/>
        <w:rPr>
          <w:sz w:val="28"/>
          <w:szCs w:val="28"/>
        </w:rPr>
      </w:pPr>
    </w:p>
    <w:p w:rsidR="00042E85" w:rsidRPr="00DA2732" w:rsidRDefault="007C6DA2" w:rsidP="00DA273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333907"/>
      <w:r w:rsidRPr="00DA2732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IV</w:t>
      </w:r>
      <w:r w:rsidRPr="00DA2732">
        <w:rPr>
          <w:rFonts w:ascii="Times New Roman" w:hAnsi="Times New Roman" w:cs="Times New Roman"/>
          <w:color w:val="auto"/>
          <w:sz w:val="28"/>
          <w:szCs w:val="28"/>
        </w:rPr>
        <w:t>. Проведение и оценка анализа влияния доходов и расходов на финансовые результаты</w:t>
      </w:r>
      <w:bookmarkEnd w:id="3"/>
    </w:p>
    <w:p w:rsidR="007C6DA2" w:rsidRDefault="007C6DA2" w:rsidP="007C6DA2">
      <w:pPr>
        <w:pStyle w:val="a4"/>
        <w:rPr>
          <w:b w:val="0"/>
          <w:sz w:val="28"/>
          <w:szCs w:val="28"/>
        </w:rPr>
      </w:pPr>
    </w:p>
    <w:p w:rsidR="007C6DA2" w:rsidRPr="007C6DA2" w:rsidRDefault="007C6DA2" w:rsidP="007C6DA2">
      <w:pPr>
        <w:pStyle w:val="a4"/>
        <w:rPr>
          <w:b w:val="0"/>
          <w:sz w:val="28"/>
          <w:szCs w:val="28"/>
        </w:rPr>
      </w:pPr>
    </w:p>
    <w:p w:rsidR="00CF244E" w:rsidRDefault="00CF244E" w:rsidP="00CF244E">
      <w:pPr>
        <w:pStyle w:val="a4"/>
        <w:jc w:val="left"/>
        <w:rPr>
          <w:b w:val="0"/>
          <w:szCs w:val="24"/>
        </w:rPr>
      </w:pPr>
    </w:p>
    <w:p w:rsidR="00042E85" w:rsidRPr="00902FE7" w:rsidRDefault="00042E85" w:rsidP="007C6DA2">
      <w:pPr>
        <w:shd w:val="clear" w:color="auto" w:fill="FFFFFF" w:themeFill="background1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оценки динамики доходов и расходов ООО «Контакт+» были использованы данные Отчета о финансовых результатах за 2016–2018 гг. Был проведен экспресс-анализ Отчета о финансовых результатах изолированно от других форм бухгалтерской отчетности. Основной задачей при выполнении анализа было определение основных факторов, оказывающих влияние на прибыль ООО «Контакт+», а также выявление основных тенденций, влияющих на эффективность организации. </w:t>
      </w:r>
    </w:p>
    <w:p w:rsidR="00042E85" w:rsidRDefault="00042E85" w:rsidP="00042E85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Анализ был проведен по трем направлениям:</w:t>
      </w:r>
    </w:p>
    <w:p w:rsidR="00042E85" w:rsidRDefault="00042E85" w:rsidP="00042E85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– вертикальный анализ отчета о финансовых результатах (выявление позитивных и негативных изменений в структуре затрат организации и ее доходности);</w:t>
      </w:r>
    </w:p>
    <w:p w:rsidR="00042E85" w:rsidRDefault="00042E85" w:rsidP="00042E85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– горизонтальный анализ отчета о финансовых результатах (выявление тенденции развития показателей структуры затрат организации и ее доходности);</w:t>
      </w:r>
    </w:p>
    <w:p w:rsidR="00042E85" w:rsidRDefault="00042E85" w:rsidP="00042E85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– коэффициентный метод (определение основных коэффициентов деятельности организации, демонстрирующих прибыльность или убыточность ее деятельности). Данные отчета  о финансовых резу</w:t>
      </w:r>
      <w:r w:rsidR="007C6D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льтатах представлены в таблице 3.</w:t>
      </w:r>
    </w:p>
    <w:p w:rsidR="00042E85" w:rsidRPr="00B15461" w:rsidRDefault="00042E85" w:rsidP="00042E85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42E85" w:rsidRDefault="007C6DA2" w:rsidP="00042E85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Таблица 3</w:t>
      </w:r>
      <w:r w:rsidR="00042E85" w:rsidRPr="00EC2F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</w:t>
      </w:r>
      <w:r w:rsidR="00042E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Отчет о финансовых результатах, тыс. 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049"/>
        <w:gridCol w:w="1869"/>
        <w:gridCol w:w="1869"/>
        <w:gridCol w:w="2051"/>
      </w:tblGrid>
      <w:tr w:rsidR="00042E85" w:rsidRPr="00CD6857" w:rsidTr="007C6DA2">
        <w:tc>
          <w:tcPr>
            <w:tcW w:w="2581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CD685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Показатель </w:t>
            </w:r>
          </w:p>
        </w:tc>
        <w:tc>
          <w:tcPr>
            <w:tcW w:w="104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CD685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Код</w:t>
            </w:r>
          </w:p>
        </w:tc>
        <w:tc>
          <w:tcPr>
            <w:tcW w:w="186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2016</w:t>
            </w:r>
          </w:p>
        </w:tc>
        <w:tc>
          <w:tcPr>
            <w:tcW w:w="186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2017</w:t>
            </w:r>
          </w:p>
        </w:tc>
        <w:tc>
          <w:tcPr>
            <w:tcW w:w="2051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2018</w:t>
            </w:r>
          </w:p>
        </w:tc>
      </w:tr>
      <w:tr w:rsidR="00042E85" w:rsidRPr="00CD6857" w:rsidTr="007C6DA2">
        <w:tc>
          <w:tcPr>
            <w:tcW w:w="2581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49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69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69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51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042E85" w:rsidRPr="00CD6857" w:rsidTr="007C6DA2">
        <w:tc>
          <w:tcPr>
            <w:tcW w:w="258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Доходы и расходы по обычным видам деятельности</w:t>
            </w:r>
          </w:p>
        </w:tc>
        <w:tc>
          <w:tcPr>
            <w:tcW w:w="104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6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6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51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042E85" w:rsidRPr="00CD6857" w:rsidTr="007C6DA2">
        <w:tc>
          <w:tcPr>
            <w:tcW w:w="258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Выручка</w:t>
            </w:r>
          </w:p>
        </w:tc>
        <w:tc>
          <w:tcPr>
            <w:tcW w:w="104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2110</w:t>
            </w:r>
          </w:p>
        </w:tc>
        <w:tc>
          <w:tcPr>
            <w:tcW w:w="186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25 056</w:t>
            </w:r>
          </w:p>
        </w:tc>
        <w:tc>
          <w:tcPr>
            <w:tcW w:w="186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12 475</w:t>
            </w:r>
          </w:p>
        </w:tc>
        <w:tc>
          <w:tcPr>
            <w:tcW w:w="2051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115 419</w:t>
            </w:r>
          </w:p>
        </w:tc>
      </w:tr>
      <w:tr w:rsidR="00042E85" w:rsidRPr="00CD6857" w:rsidTr="007C6DA2">
        <w:tc>
          <w:tcPr>
            <w:tcW w:w="258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Себестоимость продаж</w:t>
            </w:r>
          </w:p>
        </w:tc>
        <w:tc>
          <w:tcPr>
            <w:tcW w:w="104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2120</w:t>
            </w:r>
          </w:p>
        </w:tc>
        <w:tc>
          <w:tcPr>
            <w:tcW w:w="186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22 332</w:t>
            </w:r>
          </w:p>
        </w:tc>
        <w:tc>
          <w:tcPr>
            <w:tcW w:w="186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7 060</w:t>
            </w:r>
          </w:p>
        </w:tc>
        <w:tc>
          <w:tcPr>
            <w:tcW w:w="2051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101 789</w:t>
            </w:r>
          </w:p>
        </w:tc>
      </w:tr>
      <w:tr w:rsidR="00042E85" w:rsidRPr="00CD6857" w:rsidTr="007C6DA2">
        <w:tc>
          <w:tcPr>
            <w:tcW w:w="258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Валовая прибыль </w:t>
            </w:r>
          </w:p>
        </w:tc>
        <w:tc>
          <w:tcPr>
            <w:tcW w:w="104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2100</w:t>
            </w:r>
          </w:p>
        </w:tc>
        <w:tc>
          <w:tcPr>
            <w:tcW w:w="186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2 724</w:t>
            </w:r>
          </w:p>
        </w:tc>
        <w:tc>
          <w:tcPr>
            <w:tcW w:w="1869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5 415</w:t>
            </w:r>
          </w:p>
        </w:tc>
        <w:tc>
          <w:tcPr>
            <w:tcW w:w="2051" w:type="dxa"/>
          </w:tcPr>
          <w:p w:rsidR="00042E85" w:rsidRPr="00CD6857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13 630</w:t>
            </w:r>
          </w:p>
        </w:tc>
      </w:tr>
    </w:tbl>
    <w:p w:rsidR="007C6DA2" w:rsidRDefault="007C6DA2"/>
    <w:p w:rsidR="007C6DA2" w:rsidRDefault="007C6DA2">
      <w:r>
        <w:rPr>
          <w:rFonts w:ascii="Times New Roman" w:hAnsi="Times New Roman" w:cs="Times New Roman"/>
          <w:sz w:val="28"/>
          <w:szCs w:val="28"/>
        </w:rPr>
        <w:lastRenderedPageBreak/>
        <w:t xml:space="preserve">Окончание Таблицы 3 </w:t>
      </w:r>
      <w:r>
        <w:rPr>
          <w:rFonts w:ascii="Times New Roman" w:hAnsi="Times New Roman" w:cs="Times New Roman"/>
          <w:sz w:val="28"/>
          <w:szCs w:val="28"/>
        </w:rPr>
        <w:softHyphen/>
        <w:t>– Отчет о финансовых результатах, тыс. 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049"/>
        <w:gridCol w:w="1869"/>
        <w:gridCol w:w="1869"/>
        <w:gridCol w:w="2051"/>
      </w:tblGrid>
      <w:tr w:rsidR="007C6DA2" w:rsidRPr="00CD6857" w:rsidTr="007C6DA2">
        <w:tc>
          <w:tcPr>
            <w:tcW w:w="2581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CD685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Показатель </w:t>
            </w:r>
          </w:p>
        </w:tc>
        <w:tc>
          <w:tcPr>
            <w:tcW w:w="104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CD685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Код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2016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2017</w:t>
            </w:r>
          </w:p>
        </w:tc>
        <w:tc>
          <w:tcPr>
            <w:tcW w:w="2051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2018</w:t>
            </w:r>
          </w:p>
        </w:tc>
      </w:tr>
      <w:tr w:rsidR="007C6DA2" w:rsidRPr="00CD6857" w:rsidTr="007C6DA2">
        <w:tc>
          <w:tcPr>
            <w:tcW w:w="2581" w:type="dxa"/>
          </w:tcPr>
          <w:p w:rsidR="007C6DA2" w:rsidRP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6D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49" w:type="dxa"/>
          </w:tcPr>
          <w:p w:rsidR="007C6DA2" w:rsidRP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6D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69" w:type="dxa"/>
          </w:tcPr>
          <w:p w:rsidR="007C6DA2" w:rsidRP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6D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69" w:type="dxa"/>
          </w:tcPr>
          <w:p w:rsidR="007C6DA2" w:rsidRP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6D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51" w:type="dxa"/>
          </w:tcPr>
          <w:p w:rsidR="007C6DA2" w:rsidRP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6DA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7C6DA2" w:rsidRPr="00CD6857" w:rsidTr="007C6DA2">
        <w:tc>
          <w:tcPr>
            <w:tcW w:w="2581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Коммерческие расходы</w:t>
            </w:r>
          </w:p>
        </w:tc>
        <w:tc>
          <w:tcPr>
            <w:tcW w:w="1049" w:type="dxa"/>
          </w:tcPr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2210</w:t>
            </w:r>
          </w:p>
        </w:tc>
        <w:tc>
          <w:tcPr>
            <w:tcW w:w="1869" w:type="dxa"/>
          </w:tcPr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CD6857" w:rsidTr="007C6DA2">
        <w:tc>
          <w:tcPr>
            <w:tcW w:w="2581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Управленческие расходы</w:t>
            </w:r>
          </w:p>
        </w:tc>
        <w:tc>
          <w:tcPr>
            <w:tcW w:w="1049" w:type="dxa"/>
          </w:tcPr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2220</w:t>
            </w:r>
          </w:p>
        </w:tc>
        <w:tc>
          <w:tcPr>
            <w:tcW w:w="1869" w:type="dxa"/>
          </w:tcPr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CD6857" w:rsidTr="007C6DA2">
        <w:tc>
          <w:tcPr>
            <w:tcW w:w="2581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Прибыль (убыток) от продаж</w:t>
            </w:r>
          </w:p>
        </w:tc>
        <w:tc>
          <w:tcPr>
            <w:tcW w:w="104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2200</w:t>
            </w:r>
          </w:p>
        </w:tc>
        <w:tc>
          <w:tcPr>
            <w:tcW w:w="186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2 724</w:t>
            </w:r>
          </w:p>
        </w:tc>
        <w:tc>
          <w:tcPr>
            <w:tcW w:w="186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5 415</w:t>
            </w:r>
          </w:p>
        </w:tc>
        <w:tc>
          <w:tcPr>
            <w:tcW w:w="2051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13 630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Доходы от участия в других организациях</w:t>
            </w:r>
          </w:p>
        </w:tc>
        <w:tc>
          <w:tcPr>
            <w:tcW w:w="104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2310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 к получению</w:t>
            </w:r>
          </w:p>
        </w:tc>
        <w:tc>
          <w:tcPr>
            <w:tcW w:w="104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2320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 к уплате</w:t>
            </w:r>
          </w:p>
        </w:tc>
        <w:tc>
          <w:tcPr>
            <w:tcW w:w="104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2320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Прочие доходы</w:t>
            </w:r>
          </w:p>
        </w:tc>
        <w:tc>
          <w:tcPr>
            <w:tcW w:w="104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2340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308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Прочие расходы</w:t>
            </w:r>
          </w:p>
        </w:tc>
        <w:tc>
          <w:tcPr>
            <w:tcW w:w="104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2350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308</w:t>
            </w:r>
          </w:p>
        </w:tc>
        <w:tc>
          <w:tcPr>
            <w:tcW w:w="2051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4 669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Прибыль (убыток) до налогообложения</w:t>
            </w:r>
          </w:p>
        </w:tc>
        <w:tc>
          <w:tcPr>
            <w:tcW w:w="104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2300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2 724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5 107</w:t>
            </w:r>
          </w:p>
        </w:tc>
        <w:tc>
          <w:tcPr>
            <w:tcW w:w="2051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8 961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Текущий налог на прибыль</w:t>
            </w:r>
          </w:p>
        </w:tc>
        <w:tc>
          <w:tcPr>
            <w:tcW w:w="104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2410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409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том числе постоянные налоговые обязательства (активы)</w:t>
            </w:r>
          </w:p>
        </w:tc>
        <w:tc>
          <w:tcPr>
            <w:tcW w:w="104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2421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Изменение отложенных налоговых обязательств</w:t>
            </w:r>
          </w:p>
        </w:tc>
        <w:tc>
          <w:tcPr>
            <w:tcW w:w="104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2430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Изменение отложенных налоговых активов</w:t>
            </w:r>
          </w:p>
        </w:tc>
        <w:tc>
          <w:tcPr>
            <w:tcW w:w="104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2450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Прочее</w:t>
            </w:r>
          </w:p>
        </w:tc>
        <w:tc>
          <w:tcPr>
            <w:tcW w:w="104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2460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51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1 490</w:t>
            </w:r>
          </w:p>
        </w:tc>
      </w:tr>
      <w:tr w:rsidR="007C6DA2" w:rsidRPr="00CD6857" w:rsidTr="003A7F10">
        <w:tc>
          <w:tcPr>
            <w:tcW w:w="2581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Чистая прибыль (убыток)</w:t>
            </w:r>
          </w:p>
        </w:tc>
        <w:tc>
          <w:tcPr>
            <w:tcW w:w="104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2400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2 315</w:t>
            </w:r>
          </w:p>
        </w:tc>
        <w:tc>
          <w:tcPr>
            <w:tcW w:w="1869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5 107</w:t>
            </w:r>
          </w:p>
        </w:tc>
        <w:tc>
          <w:tcPr>
            <w:tcW w:w="2051" w:type="dxa"/>
          </w:tcPr>
          <w:p w:rsidR="007C6DA2" w:rsidRPr="00CD6857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10 451</w:t>
            </w:r>
          </w:p>
        </w:tc>
      </w:tr>
    </w:tbl>
    <w:p w:rsidR="00042E85" w:rsidRDefault="00042E85" w:rsidP="00042E85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C6DA2" w:rsidRDefault="00042E85" w:rsidP="007C6DA2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Имеющиеся данные позволили провести анализ изменения показателей во времени, т. е. горизонтальный показатель в абсолютных единицах. Абсолютные изменения выражаются в разности показателей отчетного и базового периода. Также были рассчитаны коэффициент роста, темп роста, темп прироста показателей за расчетный период. Данные показатели рассчитывались по данным 2018 и 2016 годов для того, чтобы определить основные тенденции структуры доходов и затрат организации за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среднесрочный период (3 года). При расчете использовались формулы коэффициентов, принятые в современной практике финансового анализа</w:t>
      </w:r>
      <w:r>
        <w:rPr>
          <w:rStyle w:val="a9"/>
          <w:sz w:val="28"/>
          <w:szCs w:val="28"/>
          <w:bdr w:val="none" w:sz="0" w:space="0" w:color="auto" w:frame="1"/>
        </w:rPr>
        <w:footnoteReference w:id="17"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2E85" w:rsidRDefault="00042E85" w:rsidP="007C6DA2">
      <w:pPr>
        <w:shd w:val="clear" w:color="auto" w:fill="FFFFFF" w:themeFill="background1"/>
        <w:spacing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Коэффициент роста рассчитывается по следующей формуле:</w:t>
      </w:r>
    </w:p>
    <w:p w:rsidR="00042E85" w:rsidRDefault="00042E85" w:rsidP="00042E85">
      <w:pPr>
        <w:shd w:val="clear" w:color="auto" w:fill="FFFFFF" w:themeFill="background1"/>
        <w:spacing w:line="36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</w:pPr>
      <m:oMath>
        <m:r>
          <w:rPr>
            <w:rFonts w:ascii="Cambria Math" w:hAnsi="Cambria Math" w:cs="Cambria Math"/>
            <w:sz w:val="28"/>
            <w:szCs w:val="28"/>
            <w:bdr w:val="none" w:sz="0" w:space="0" w:color="auto" w:frame="1"/>
          </w:rPr>
          <m:t>Коэффициент роста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bdr w:val="none" w:sz="0" w:space="0" w:color="auto" w:frame="1"/>
              </w:rPr>
              <m:t>Показатель отчетного периода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bdr w:val="none" w:sz="0" w:space="0" w:color="auto" w:frame="1"/>
              </w:rPr>
              <m:t>Показатель предыдущего периода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ab/>
        <w:t>(1)</w:t>
      </w:r>
    </w:p>
    <w:p w:rsidR="00042E85" w:rsidRDefault="00042E85" w:rsidP="007C6DA2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>Темп роста рассчитывается по следующей формуле:</w:t>
      </w:r>
    </w:p>
    <w:p w:rsidR="00042E85" w:rsidRDefault="00042E85" w:rsidP="007C6DA2">
      <w:pPr>
        <w:shd w:val="clear" w:color="auto" w:fill="FFFFFF" w:themeFill="background1"/>
        <w:spacing w:line="36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>Темп роста = Коэффициент роста ⃰ 100%</w:t>
      </w: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ab/>
        <w:t xml:space="preserve">  (2)</w:t>
      </w:r>
    </w:p>
    <w:p w:rsidR="00042E85" w:rsidRDefault="00042E85" w:rsidP="007C6DA2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>Темп прироста рассчитывается по следующей формуле:</w:t>
      </w:r>
    </w:p>
    <w:p w:rsidR="00042E85" w:rsidRPr="00B314CB" w:rsidRDefault="00042E85" w:rsidP="007C6DA2">
      <w:pPr>
        <w:shd w:val="clear" w:color="auto" w:fill="FFFFFF" w:themeFill="background1"/>
        <w:spacing w:line="36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bdr w:val="none" w:sz="0" w:space="0" w:color="auto" w:frame="1"/>
          </w:rPr>
          <m:t>Темп прироста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bdr w:val="none" w:sz="0" w:space="0" w:color="auto" w:frame="1"/>
              </w:rPr>
              <m:t>Показатель отчетного периода-показатель предыдущего периода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bdr w:val="none" w:sz="0" w:space="0" w:color="auto" w:frame="1"/>
              </w:rPr>
              <m:t>Показатель предыдущего периода ×100%</m:t>
            </m:r>
          </m:den>
        </m:f>
      </m:oMath>
      <w:r w:rsidRPr="00C64526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 xml:space="preserve">   (3)</w:t>
      </w:r>
    </w:p>
    <w:p w:rsidR="00042E85" w:rsidRDefault="00042E85" w:rsidP="007C6DA2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42E85" w:rsidRDefault="00042E85" w:rsidP="007C6DA2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Результаты расчета данных показателей, приведенные</w:t>
      </w:r>
      <w:r w:rsidR="007C6D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таблице 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позволили выявить основные тенденции развития организации с точки зрения извлечения прибыли при реализации основной деятельности.</w:t>
      </w:r>
    </w:p>
    <w:p w:rsidR="00042E85" w:rsidRDefault="00042E85" w:rsidP="00042E85">
      <w:pPr>
        <w:pStyle w:val="ac"/>
        <w:rPr>
          <w:bdr w:val="none" w:sz="0" w:space="0" w:color="auto" w:frame="1"/>
        </w:rPr>
      </w:pPr>
    </w:p>
    <w:p w:rsidR="00042E85" w:rsidRDefault="007C6DA2" w:rsidP="00042E85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Таблица 4</w:t>
      </w:r>
      <w:r w:rsidR="00042E85" w:rsidRPr="00EC2F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</w:t>
      </w:r>
      <w:r w:rsidR="00042E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Горизонтальный анализ доходов и расходов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155"/>
        <w:gridCol w:w="1276"/>
        <w:gridCol w:w="1418"/>
        <w:gridCol w:w="1559"/>
        <w:gridCol w:w="1417"/>
        <w:gridCol w:w="1531"/>
      </w:tblGrid>
      <w:tr w:rsidR="00042E85" w:rsidRPr="00637A2C" w:rsidTr="007C6DA2">
        <w:tc>
          <w:tcPr>
            <w:tcW w:w="2155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37A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Показатель</w:t>
            </w:r>
          </w:p>
        </w:tc>
        <w:tc>
          <w:tcPr>
            <w:tcW w:w="1276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2017 к 2016</w:t>
            </w:r>
          </w:p>
        </w:tc>
        <w:tc>
          <w:tcPr>
            <w:tcW w:w="1418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2018 к 2017</w:t>
            </w:r>
          </w:p>
        </w:tc>
        <w:tc>
          <w:tcPr>
            <w:tcW w:w="1559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37A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Коэфф.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ста, 2018 к 2016</w:t>
            </w:r>
          </w:p>
        </w:tc>
        <w:tc>
          <w:tcPr>
            <w:tcW w:w="1417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37A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Темп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ста, 2018 к 2016</w:t>
            </w:r>
          </w:p>
        </w:tc>
        <w:tc>
          <w:tcPr>
            <w:tcW w:w="1531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37A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Темп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роста, 2018 к 2016</w:t>
            </w:r>
          </w:p>
        </w:tc>
      </w:tr>
      <w:tr w:rsidR="00042E85" w:rsidRPr="00637A2C" w:rsidTr="007C6DA2">
        <w:tc>
          <w:tcPr>
            <w:tcW w:w="2155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417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31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42E85" w:rsidRPr="00637A2C" w:rsidTr="007C6DA2">
        <w:tc>
          <w:tcPr>
            <w:tcW w:w="2155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Доходы и расходы по обычным видам деятельности</w:t>
            </w:r>
          </w:p>
        </w:tc>
        <w:tc>
          <w:tcPr>
            <w:tcW w:w="1276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1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042E85" w:rsidRPr="00637A2C" w:rsidTr="007C6DA2">
        <w:tc>
          <w:tcPr>
            <w:tcW w:w="2155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Выручка</w:t>
            </w:r>
          </w:p>
        </w:tc>
        <w:tc>
          <w:tcPr>
            <w:tcW w:w="1276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- 12 581</w:t>
            </w:r>
          </w:p>
        </w:tc>
        <w:tc>
          <w:tcPr>
            <w:tcW w:w="1418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+ 102 944</w:t>
            </w:r>
          </w:p>
        </w:tc>
        <w:tc>
          <w:tcPr>
            <w:tcW w:w="1559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4,6</w:t>
            </w:r>
          </w:p>
        </w:tc>
        <w:tc>
          <w:tcPr>
            <w:tcW w:w="1417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460</w:t>
            </w:r>
          </w:p>
        </w:tc>
        <w:tc>
          <w:tcPr>
            <w:tcW w:w="1531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0,35</w:t>
            </w:r>
          </w:p>
        </w:tc>
      </w:tr>
      <w:tr w:rsidR="00042E85" w:rsidRPr="00637A2C" w:rsidTr="007C6DA2">
        <w:tc>
          <w:tcPr>
            <w:tcW w:w="2155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Себестоимость продаж</w:t>
            </w:r>
          </w:p>
        </w:tc>
        <w:tc>
          <w:tcPr>
            <w:tcW w:w="1276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- 15 272</w:t>
            </w:r>
          </w:p>
        </w:tc>
        <w:tc>
          <w:tcPr>
            <w:tcW w:w="141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+ 94 729</w:t>
            </w:r>
          </w:p>
        </w:tc>
        <w:tc>
          <w:tcPr>
            <w:tcW w:w="15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4,6</w:t>
            </w:r>
          </w:p>
        </w:tc>
        <w:tc>
          <w:tcPr>
            <w:tcW w:w="1417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460</w:t>
            </w:r>
          </w:p>
        </w:tc>
        <w:tc>
          <w:tcPr>
            <w:tcW w:w="1531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0,04</w:t>
            </w:r>
          </w:p>
        </w:tc>
      </w:tr>
      <w:tr w:rsidR="00042E85" w:rsidRPr="00637A2C" w:rsidTr="007C6DA2">
        <w:tc>
          <w:tcPr>
            <w:tcW w:w="2155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Валовая прибыль </w:t>
            </w:r>
          </w:p>
        </w:tc>
        <w:tc>
          <w:tcPr>
            <w:tcW w:w="1276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+ 2 691</w:t>
            </w:r>
          </w:p>
        </w:tc>
        <w:tc>
          <w:tcPr>
            <w:tcW w:w="1418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+ 8 215</w:t>
            </w:r>
          </w:p>
        </w:tc>
        <w:tc>
          <w:tcPr>
            <w:tcW w:w="1559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417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531" w:type="dxa"/>
          </w:tcPr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0,04</w:t>
            </w:r>
          </w:p>
        </w:tc>
      </w:tr>
      <w:tr w:rsidR="00042E85" w:rsidRPr="00637A2C" w:rsidTr="007C6DA2">
        <w:tc>
          <w:tcPr>
            <w:tcW w:w="2155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Коммерческие расходы</w:t>
            </w:r>
          </w:p>
        </w:tc>
        <w:tc>
          <w:tcPr>
            <w:tcW w:w="1276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042E85" w:rsidRPr="00637A2C" w:rsidTr="007C6DA2">
        <w:tc>
          <w:tcPr>
            <w:tcW w:w="2155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Управленческие расходы</w:t>
            </w:r>
          </w:p>
        </w:tc>
        <w:tc>
          <w:tcPr>
            <w:tcW w:w="1276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042E85" w:rsidRPr="00637A2C" w:rsidTr="007C6DA2">
        <w:tc>
          <w:tcPr>
            <w:tcW w:w="2155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Прибыль (убыток) от продаж</w:t>
            </w:r>
          </w:p>
        </w:tc>
        <w:tc>
          <w:tcPr>
            <w:tcW w:w="1276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+ 2 691</w:t>
            </w:r>
          </w:p>
        </w:tc>
        <w:tc>
          <w:tcPr>
            <w:tcW w:w="141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+ 8 215</w:t>
            </w:r>
          </w:p>
        </w:tc>
        <w:tc>
          <w:tcPr>
            <w:tcW w:w="15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417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531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0,04</w:t>
            </w:r>
          </w:p>
        </w:tc>
      </w:tr>
      <w:tr w:rsidR="00042E85" w:rsidRPr="00637A2C" w:rsidTr="007C6DA2">
        <w:tc>
          <w:tcPr>
            <w:tcW w:w="2155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Доходы от участия в других организациях</w:t>
            </w:r>
          </w:p>
        </w:tc>
        <w:tc>
          <w:tcPr>
            <w:tcW w:w="1276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637A2C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</w:tbl>
    <w:p w:rsidR="007C6DA2" w:rsidRDefault="007C6DA2"/>
    <w:p w:rsidR="007C6DA2" w:rsidRPr="007C6DA2" w:rsidRDefault="007C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Таблицы 4 – Горизонтальный анализ доходов и расходов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155"/>
        <w:gridCol w:w="1276"/>
        <w:gridCol w:w="1418"/>
        <w:gridCol w:w="1559"/>
        <w:gridCol w:w="1417"/>
        <w:gridCol w:w="1531"/>
      </w:tblGrid>
      <w:tr w:rsidR="007C6DA2" w:rsidRPr="00637A2C" w:rsidTr="007C6DA2">
        <w:tc>
          <w:tcPr>
            <w:tcW w:w="2155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37A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Показатель</w:t>
            </w:r>
          </w:p>
        </w:tc>
        <w:tc>
          <w:tcPr>
            <w:tcW w:w="1276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2017 к 2016</w:t>
            </w:r>
          </w:p>
        </w:tc>
        <w:tc>
          <w:tcPr>
            <w:tcW w:w="1418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2018 к 2017</w:t>
            </w:r>
          </w:p>
        </w:tc>
        <w:tc>
          <w:tcPr>
            <w:tcW w:w="1559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37A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Коэфф.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ста, 2018 к 2016</w:t>
            </w:r>
          </w:p>
        </w:tc>
        <w:tc>
          <w:tcPr>
            <w:tcW w:w="1417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37A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Темп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ста, 2018 к 2016</w:t>
            </w:r>
          </w:p>
        </w:tc>
        <w:tc>
          <w:tcPr>
            <w:tcW w:w="1531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37A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Темп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роста, 2018 к 2016</w:t>
            </w:r>
          </w:p>
        </w:tc>
      </w:tr>
      <w:tr w:rsidR="007C6DA2" w:rsidRPr="00637A2C" w:rsidTr="007C6DA2">
        <w:tc>
          <w:tcPr>
            <w:tcW w:w="2155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59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417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31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7C6DA2" w:rsidRPr="00637A2C" w:rsidTr="007C6DA2">
        <w:tc>
          <w:tcPr>
            <w:tcW w:w="2155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 к получению</w:t>
            </w:r>
          </w:p>
        </w:tc>
        <w:tc>
          <w:tcPr>
            <w:tcW w:w="1276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7C6DA2" w:rsidRPr="00637A2C" w:rsidTr="007C6DA2">
        <w:tc>
          <w:tcPr>
            <w:tcW w:w="2155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 к уплате</w:t>
            </w:r>
          </w:p>
        </w:tc>
        <w:tc>
          <w:tcPr>
            <w:tcW w:w="1276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7C6DA2" w:rsidRPr="00637A2C" w:rsidTr="007C6DA2">
        <w:tc>
          <w:tcPr>
            <w:tcW w:w="2155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Прочие доходы</w:t>
            </w:r>
          </w:p>
        </w:tc>
        <w:tc>
          <w:tcPr>
            <w:tcW w:w="1276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+ 308</w:t>
            </w:r>
          </w:p>
        </w:tc>
        <w:tc>
          <w:tcPr>
            <w:tcW w:w="1559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7C6DA2" w:rsidRPr="00637A2C" w:rsidTr="007C6DA2">
        <w:tc>
          <w:tcPr>
            <w:tcW w:w="2155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Прочие расходы</w:t>
            </w:r>
          </w:p>
        </w:tc>
        <w:tc>
          <w:tcPr>
            <w:tcW w:w="1276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+ 4 361</w:t>
            </w:r>
          </w:p>
        </w:tc>
        <w:tc>
          <w:tcPr>
            <w:tcW w:w="1559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7C6DA2" w:rsidRPr="00637A2C" w:rsidTr="007C6DA2">
        <w:tc>
          <w:tcPr>
            <w:tcW w:w="2155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Прибыль (убыток) до налогообложения</w:t>
            </w:r>
          </w:p>
        </w:tc>
        <w:tc>
          <w:tcPr>
            <w:tcW w:w="1276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+ 2 383</w:t>
            </w:r>
          </w:p>
        </w:tc>
        <w:tc>
          <w:tcPr>
            <w:tcW w:w="1418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+ 3 854</w:t>
            </w:r>
          </w:p>
        </w:tc>
        <w:tc>
          <w:tcPr>
            <w:tcW w:w="155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3,2</w:t>
            </w:r>
          </w:p>
        </w:tc>
        <w:tc>
          <w:tcPr>
            <w:tcW w:w="1417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320</w:t>
            </w:r>
          </w:p>
        </w:tc>
        <w:tc>
          <w:tcPr>
            <w:tcW w:w="1531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0,02</w:t>
            </w:r>
          </w:p>
        </w:tc>
      </w:tr>
      <w:tr w:rsidR="007C6DA2" w:rsidRPr="00637A2C" w:rsidTr="007C6DA2">
        <w:tc>
          <w:tcPr>
            <w:tcW w:w="2155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Текущий налог на прибыль</w:t>
            </w:r>
          </w:p>
        </w:tc>
        <w:tc>
          <w:tcPr>
            <w:tcW w:w="1276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- 409</w:t>
            </w:r>
          </w:p>
        </w:tc>
        <w:tc>
          <w:tcPr>
            <w:tcW w:w="1418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7C6DA2" w:rsidRPr="00637A2C" w:rsidTr="007C6DA2">
        <w:tc>
          <w:tcPr>
            <w:tcW w:w="2155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том числе постоянные налоговые обязательства (активы)</w:t>
            </w:r>
          </w:p>
        </w:tc>
        <w:tc>
          <w:tcPr>
            <w:tcW w:w="1276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7C6DA2" w:rsidRPr="00637A2C" w:rsidTr="007C6DA2">
        <w:tc>
          <w:tcPr>
            <w:tcW w:w="2155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Изменение отложенных налоговых обязательств</w:t>
            </w:r>
          </w:p>
        </w:tc>
        <w:tc>
          <w:tcPr>
            <w:tcW w:w="1276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7C6DA2" w:rsidRPr="00637A2C" w:rsidTr="003A7F10">
        <w:tc>
          <w:tcPr>
            <w:tcW w:w="2155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Изменение отложенных налоговых активов</w:t>
            </w:r>
          </w:p>
        </w:tc>
        <w:tc>
          <w:tcPr>
            <w:tcW w:w="1276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7C6DA2" w:rsidRPr="00637A2C" w:rsidTr="003A7F10">
        <w:tc>
          <w:tcPr>
            <w:tcW w:w="2155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Прочее</w:t>
            </w:r>
          </w:p>
        </w:tc>
        <w:tc>
          <w:tcPr>
            <w:tcW w:w="1276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+ 1 490</w:t>
            </w:r>
          </w:p>
        </w:tc>
        <w:tc>
          <w:tcPr>
            <w:tcW w:w="1559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17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31" w:type="dxa"/>
          </w:tcPr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7C6DA2" w:rsidRPr="00637A2C" w:rsidTr="003A7F10">
        <w:tc>
          <w:tcPr>
            <w:tcW w:w="2155" w:type="dxa"/>
          </w:tcPr>
          <w:p w:rsidR="007C6DA2" w:rsidRPr="00CD6857" w:rsidRDefault="007C6DA2" w:rsidP="003A7F10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Чистая прибыль (убыток)</w:t>
            </w:r>
          </w:p>
        </w:tc>
        <w:tc>
          <w:tcPr>
            <w:tcW w:w="1276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+ 2 792</w:t>
            </w:r>
          </w:p>
        </w:tc>
        <w:tc>
          <w:tcPr>
            <w:tcW w:w="1418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+ 5 344</w:t>
            </w:r>
          </w:p>
        </w:tc>
        <w:tc>
          <w:tcPr>
            <w:tcW w:w="1559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4,5</w:t>
            </w:r>
          </w:p>
        </w:tc>
        <w:tc>
          <w:tcPr>
            <w:tcW w:w="1417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450</w:t>
            </w:r>
          </w:p>
        </w:tc>
        <w:tc>
          <w:tcPr>
            <w:tcW w:w="1531" w:type="dxa"/>
          </w:tcPr>
          <w:p w:rsidR="007C6DA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637A2C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0,04</w:t>
            </w:r>
          </w:p>
        </w:tc>
      </w:tr>
    </w:tbl>
    <w:p w:rsidR="007C6DA2" w:rsidRDefault="007C6DA2" w:rsidP="00042E85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42E85" w:rsidRDefault="00042E85" w:rsidP="00042E85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Полученные данные свидетельствуют о том, что ООО «Контакт+» идет по пути наращивания производства для увеличения объема выручки, а в конечном итоге и чистой прибыли. Рост выручки за счет наращивания объемов производства не может быть постоянным, поскольку у организации имеется предельный объем производства, на который ООО «Контакт+» сможет выйти только за счет привлечения дополнительных ресурсов, что увеличит затраты. Организации рекомендуется проанализировать структуру затрат и оценить их эффективность. Снижение затрат, включая снижение себестоимости производства при сохранении текущих цен, может положительным образом сказаться на росте выручки.</w:t>
      </w:r>
    </w:p>
    <w:p w:rsidR="00042E85" w:rsidRDefault="00042E85" w:rsidP="00042E85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ab/>
        <w:t>Значения коэффициента роста, темпа роста и темпа прироста свидетельствуют о росте всех ключевых показателей доходов и расходов ООО «Контакт+». Коэффициент роста по всем показателям демонстрирует значение выше 1, что свидетельствует о стабильности роста и тенденции к дальнейшему развитию. Однако необходимо помнить, что чем выше темпы роста, тем выше уровень риска деятельности, поэтому для ООО «Контакт+» важен постоянный анализ финансовых рисков.</w:t>
      </w:r>
    </w:p>
    <w:p w:rsidR="00042E85" w:rsidRDefault="00042E85" w:rsidP="00042E85">
      <w:pPr>
        <w:shd w:val="clear" w:color="auto" w:fill="FFFFFF" w:themeFill="background1"/>
        <w:spacing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проведении вертикального анализа за 100% принимались показатели выручки от реализации. Данные анализа представлены в т</w:t>
      </w:r>
      <w:r w:rsidR="007C6D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аблице 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2E85" w:rsidRDefault="00042E85" w:rsidP="00042E85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42E85" w:rsidRDefault="007C6DA2" w:rsidP="00042E85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Таблица 5</w:t>
      </w:r>
      <w:r w:rsidR="00042E85" w:rsidRPr="00EC2F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</w:t>
      </w:r>
      <w:r w:rsidR="00042E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Вертикальный анализ отчета о финансовых результатах, 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1"/>
        <w:gridCol w:w="1349"/>
        <w:gridCol w:w="1358"/>
        <w:gridCol w:w="1359"/>
        <w:gridCol w:w="1362"/>
        <w:gridCol w:w="2004"/>
      </w:tblGrid>
      <w:tr w:rsidR="00042E85" w:rsidRPr="00487EFF" w:rsidTr="007C6DA2">
        <w:tc>
          <w:tcPr>
            <w:tcW w:w="2031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87EFF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Показатель</w:t>
            </w:r>
          </w:p>
        </w:tc>
        <w:tc>
          <w:tcPr>
            <w:tcW w:w="1349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2016</w:t>
            </w:r>
          </w:p>
        </w:tc>
        <w:tc>
          <w:tcPr>
            <w:tcW w:w="1358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2017</w:t>
            </w:r>
          </w:p>
        </w:tc>
        <w:tc>
          <w:tcPr>
            <w:tcW w:w="1359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2018</w:t>
            </w:r>
          </w:p>
        </w:tc>
        <w:tc>
          <w:tcPr>
            <w:tcW w:w="1362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2017 к 2016</w:t>
            </w:r>
          </w:p>
        </w:tc>
        <w:tc>
          <w:tcPr>
            <w:tcW w:w="2004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2018 к 2017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349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358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359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62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004" w:type="dxa"/>
          </w:tcPr>
          <w:p w:rsidR="00042E85" w:rsidRPr="00801222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Себестоимость продаж</w:t>
            </w:r>
          </w:p>
        </w:tc>
        <w:tc>
          <w:tcPr>
            <w:tcW w:w="134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89,1</w:t>
            </w:r>
          </w:p>
        </w:tc>
        <w:tc>
          <w:tcPr>
            <w:tcW w:w="135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56,6</w:t>
            </w:r>
          </w:p>
        </w:tc>
        <w:tc>
          <w:tcPr>
            <w:tcW w:w="13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88,19</w:t>
            </w:r>
          </w:p>
        </w:tc>
        <w:tc>
          <w:tcPr>
            <w:tcW w:w="1362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- 32,5</w:t>
            </w:r>
          </w:p>
        </w:tc>
        <w:tc>
          <w:tcPr>
            <w:tcW w:w="2004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+ 31,59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Валовая прибыль </w:t>
            </w:r>
          </w:p>
        </w:tc>
        <w:tc>
          <w:tcPr>
            <w:tcW w:w="1349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10,8</w:t>
            </w:r>
          </w:p>
        </w:tc>
        <w:tc>
          <w:tcPr>
            <w:tcW w:w="1358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43,4</w:t>
            </w:r>
          </w:p>
        </w:tc>
        <w:tc>
          <w:tcPr>
            <w:tcW w:w="1359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11,80</w:t>
            </w:r>
          </w:p>
        </w:tc>
        <w:tc>
          <w:tcPr>
            <w:tcW w:w="1362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+ 32,6</w:t>
            </w:r>
          </w:p>
        </w:tc>
        <w:tc>
          <w:tcPr>
            <w:tcW w:w="2004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- 31,6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Коммерческие расходы</w:t>
            </w:r>
          </w:p>
        </w:tc>
        <w:tc>
          <w:tcPr>
            <w:tcW w:w="134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62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04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Управленческие расходы</w:t>
            </w:r>
          </w:p>
        </w:tc>
        <w:tc>
          <w:tcPr>
            <w:tcW w:w="134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62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04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Прибыль (убыток) от продаж</w:t>
            </w:r>
          </w:p>
        </w:tc>
        <w:tc>
          <w:tcPr>
            <w:tcW w:w="134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10,8</w:t>
            </w:r>
          </w:p>
        </w:tc>
        <w:tc>
          <w:tcPr>
            <w:tcW w:w="135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43,4</w:t>
            </w:r>
          </w:p>
        </w:tc>
        <w:tc>
          <w:tcPr>
            <w:tcW w:w="13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11,80</w:t>
            </w:r>
          </w:p>
        </w:tc>
        <w:tc>
          <w:tcPr>
            <w:tcW w:w="1362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+32,6</w:t>
            </w:r>
          </w:p>
        </w:tc>
        <w:tc>
          <w:tcPr>
            <w:tcW w:w="2004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- 31,6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Доходы от участия в других организациях</w:t>
            </w:r>
          </w:p>
        </w:tc>
        <w:tc>
          <w:tcPr>
            <w:tcW w:w="134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62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04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 к получению</w:t>
            </w:r>
          </w:p>
        </w:tc>
        <w:tc>
          <w:tcPr>
            <w:tcW w:w="134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62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04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 к уплате</w:t>
            </w:r>
          </w:p>
        </w:tc>
        <w:tc>
          <w:tcPr>
            <w:tcW w:w="1349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62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04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Прочие доходы</w:t>
            </w:r>
          </w:p>
        </w:tc>
        <w:tc>
          <w:tcPr>
            <w:tcW w:w="1349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2,47</w:t>
            </w:r>
          </w:p>
        </w:tc>
        <w:tc>
          <w:tcPr>
            <w:tcW w:w="1359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0,26</w:t>
            </w:r>
          </w:p>
        </w:tc>
        <w:tc>
          <w:tcPr>
            <w:tcW w:w="1362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+2,47</w:t>
            </w:r>
          </w:p>
        </w:tc>
        <w:tc>
          <w:tcPr>
            <w:tcW w:w="2004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- 2,21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Прочие расходы</w:t>
            </w:r>
          </w:p>
        </w:tc>
        <w:tc>
          <w:tcPr>
            <w:tcW w:w="1349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4,05</w:t>
            </w:r>
          </w:p>
        </w:tc>
        <w:tc>
          <w:tcPr>
            <w:tcW w:w="1362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04" w:type="dxa"/>
          </w:tcPr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+ 4,05</w:t>
            </w:r>
          </w:p>
        </w:tc>
      </w:tr>
      <w:tr w:rsidR="00042E85" w:rsidRPr="00487EFF" w:rsidTr="007C6DA2">
        <w:tc>
          <w:tcPr>
            <w:tcW w:w="2031" w:type="dxa"/>
          </w:tcPr>
          <w:p w:rsidR="00042E85" w:rsidRPr="00CD6857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Прибыль (убыток) до налогообложения</w:t>
            </w:r>
          </w:p>
        </w:tc>
        <w:tc>
          <w:tcPr>
            <w:tcW w:w="134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10,8</w:t>
            </w:r>
          </w:p>
        </w:tc>
        <w:tc>
          <w:tcPr>
            <w:tcW w:w="1358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40,93</w:t>
            </w:r>
          </w:p>
        </w:tc>
        <w:tc>
          <w:tcPr>
            <w:tcW w:w="1359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7,77</w:t>
            </w:r>
          </w:p>
        </w:tc>
        <w:tc>
          <w:tcPr>
            <w:tcW w:w="1362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+ 30,13</w:t>
            </w:r>
          </w:p>
        </w:tc>
        <w:tc>
          <w:tcPr>
            <w:tcW w:w="2004" w:type="dxa"/>
          </w:tcPr>
          <w:p w:rsidR="00042E85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Default="00042E85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42E85" w:rsidRPr="00487EFF" w:rsidRDefault="00042E85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- 33,16</w:t>
            </w:r>
          </w:p>
        </w:tc>
      </w:tr>
    </w:tbl>
    <w:p w:rsidR="007C6DA2" w:rsidRDefault="007C6DA2"/>
    <w:p w:rsidR="00352F1E" w:rsidRDefault="00352F1E" w:rsidP="007C6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DA2" w:rsidRPr="007C6DA2" w:rsidRDefault="007C6DA2" w:rsidP="007C6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Таблицы 5 – Вертикальный анализ отчета о финансовых результатах, 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1"/>
        <w:gridCol w:w="1349"/>
        <w:gridCol w:w="1358"/>
        <w:gridCol w:w="1359"/>
        <w:gridCol w:w="1362"/>
        <w:gridCol w:w="2004"/>
      </w:tblGrid>
      <w:tr w:rsidR="007C6DA2" w:rsidRPr="00487EFF" w:rsidTr="007C6DA2">
        <w:tc>
          <w:tcPr>
            <w:tcW w:w="2031" w:type="dxa"/>
          </w:tcPr>
          <w:p w:rsidR="007C6DA2" w:rsidRPr="00487EFF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87EFF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Показатель</w:t>
            </w:r>
          </w:p>
        </w:tc>
        <w:tc>
          <w:tcPr>
            <w:tcW w:w="1349" w:type="dxa"/>
          </w:tcPr>
          <w:p w:rsidR="007C6DA2" w:rsidRPr="00487EFF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2016</w:t>
            </w:r>
          </w:p>
        </w:tc>
        <w:tc>
          <w:tcPr>
            <w:tcW w:w="1358" w:type="dxa"/>
          </w:tcPr>
          <w:p w:rsidR="007C6DA2" w:rsidRPr="00487EFF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2017</w:t>
            </w:r>
          </w:p>
        </w:tc>
        <w:tc>
          <w:tcPr>
            <w:tcW w:w="1359" w:type="dxa"/>
          </w:tcPr>
          <w:p w:rsidR="007C6DA2" w:rsidRPr="00487EFF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2018</w:t>
            </w:r>
          </w:p>
        </w:tc>
        <w:tc>
          <w:tcPr>
            <w:tcW w:w="1362" w:type="dxa"/>
          </w:tcPr>
          <w:p w:rsidR="007C6DA2" w:rsidRPr="00487EFF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2017 к 2016</w:t>
            </w:r>
          </w:p>
        </w:tc>
        <w:tc>
          <w:tcPr>
            <w:tcW w:w="2004" w:type="dxa"/>
          </w:tcPr>
          <w:p w:rsidR="007C6DA2" w:rsidRPr="00487EFF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2018 к 2017</w:t>
            </w:r>
          </w:p>
        </w:tc>
      </w:tr>
      <w:tr w:rsidR="007C6DA2" w:rsidRPr="00487EFF" w:rsidTr="007C6DA2">
        <w:tc>
          <w:tcPr>
            <w:tcW w:w="2031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349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358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359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62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004" w:type="dxa"/>
          </w:tcPr>
          <w:p w:rsidR="007C6DA2" w:rsidRPr="00801222" w:rsidRDefault="007C6DA2" w:rsidP="003A7F1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12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7C6DA2" w:rsidRPr="00487EFF" w:rsidTr="007C6DA2">
        <w:tc>
          <w:tcPr>
            <w:tcW w:w="2031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Текущие налог на прибыль</w:t>
            </w:r>
          </w:p>
        </w:tc>
        <w:tc>
          <w:tcPr>
            <w:tcW w:w="134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1,63</w:t>
            </w:r>
          </w:p>
        </w:tc>
        <w:tc>
          <w:tcPr>
            <w:tcW w:w="1358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62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- 1,63</w:t>
            </w:r>
          </w:p>
        </w:tc>
        <w:tc>
          <w:tcPr>
            <w:tcW w:w="2004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487EFF" w:rsidTr="007C6DA2">
        <w:tc>
          <w:tcPr>
            <w:tcW w:w="2031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том числе постоянные налоговые обязательства (активы)</w:t>
            </w:r>
          </w:p>
        </w:tc>
        <w:tc>
          <w:tcPr>
            <w:tcW w:w="134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62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04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487EFF" w:rsidTr="007C6DA2">
        <w:tc>
          <w:tcPr>
            <w:tcW w:w="2031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Изменение отложенных налоговых обязательств</w:t>
            </w:r>
          </w:p>
        </w:tc>
        <w:tc>
          <w:tcPr>
            <w:tcW w:w="134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62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04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487EFF" w:rsidTr="007C6DA2">
        <w:tc>
          <w:tcPr>
            <w:tcW w:w="2031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Изменение отложенных налоговых активов</w:t>
            </w:r>
          </w:p>
        </w:tc>
        <w:tc>
          <w:tcPr>
            <w:tcW w:w="134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62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04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7C6DA2" w:rsidRPr="00487EFF" w:rsidTr="007C6DA2">
        <w:tc>
          <w:tcPr>
            <w:tcW w:w="2031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Прочее</w:t>
            </w:r>
          </w:p>
        </w:tc>
        <w:tc>
          <w:tcPr>
            <w:tcW w:w="1349" w:type="dxa"/>
          </w:tcPr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8" w:type="dxa"/>
          </w:tcPr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359" w:type="dxa"/>
          </w:tcPr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1,29</w:t>
            </w:r>
          </w:p>
        </w:tc>
        <w:tc>
          <w:tcPr>
            <w:tcW w:w="1362" w:type="dxa"/>
          </w:tcPr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04" w:type="dxa"/>
          </w:tcPr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+1,29</w:t>
            </w:r>
          </w:p>
        </w:tc>
      </w:tr>
      <w:tr w:rsidR="007C6DA2" w:rsidRPr="00487EFF" w:rsidTr="007C6DA2">
        <w:tc>
          <w:tcPr>
            <w:tcW w:w="2031" w:type="dxa"/>
          </w:tcPr>
          <w:p w:rsidR="007C6DA2" w:rsidRPr="00CD6857" w:rsidRDefault="007C6DA2" w:rsidP="00042E8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Чистая прибыль (убыток)</w:t>
            </w:r>
          </w:p>
        </w:tc>
        <w:tc>
          <w:tcPr>
            <w:tcW w:w="134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9,23</w:t>
            </w:r>
          </w:p>
        </w:tc>
        <w:tc>
          <w:tcPr>
            <w:tcW w:w="1358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40,93</w:t>
            </w:r>
          </w:p>
        </w:tc>
        <w:tc>
          <w:tcPr>
            <w:tcW w:w="1359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9,05</w:t>
            </w:r>
          </w:p>
        </w:tc>
        <w:tc>
          <w:tcPr>
            <w:tcW w:w="1362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+ 31,7</w:t>
            </w:r>
          </w:p>
        </w:tc>
        <w:tc>
          <w:tcPr>
            <w:tcW w:w="2004" w:type="dxa"/>
          </w:tcPr>
          <w:p w:rsidR="007C6DA2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C6DA2" w:rsidRPr="00487EFF" w:rsidRDefault="007C6DA2" w:rsidP="00042E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- 31,88</w:t>
            </w:r>
          </w:p>
        </w:tc>
      </w:tr>
    </w:tbl>
    <w:p w:rsidR="00042E85" w:rsidRPr="003A06AC" w:rsidRDefault="00042E85" w:rsidP="00042E85">
      <w:pPr>
        <w:rPr>
          <w:rFonts w:ascii="Times New Roman" w:hAnsi="Times New Roman" w:cs="Times New Roman"/>
          <w:sz w:val="28"/>
          <w:szCs w:val="28"/>
        </w:rPr>
      </w:pPr>
    </w:p>
    <w:p w:rsidR="00352F1E" w:rsidRDefault="00042E85" w:rsidP="00352F1E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Проведенный анализ позволил подтвердить результаты горизонтального анализа. Наибольший удельный вес в выручке имеет себестоимость продаж. В 2018 году резкое увеличение выручки было вызвано увеличением объемов производства и увеличением на 31,59 пп. себестоимости продаж. При этом отмечалось сокращение доли валовой прибыли (т. е. прибыли за вычетом себестоимости) в структуре выручки на 31,6 п.п. Доля чистой прибыли в структуре выручки также снизилась в 2018 году на 31,88 пп. по сравнению с 2017 годом. Несмотря на то, что чистая прибыль в 2018 году увеличилась по отношению к 2017  году на 5 344 тыс. руб., высокая себестоимость нивелирует эффект от роста прибыли.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42E85" w:rsidRPr="00352F1E" w:rsidRDefault="00042E85" w:rsidP="00352F1E">
      <w:pPr>
        <w:shd w:val="clear" w:color="auto" w:fill="FFFFFF" w:themeFill="background1"/>
        <w:spacing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Анализ финансового результата ООО «Контакт+» был проведен на основе анализа прибыли, поскольку именно прибыль является наиболее важным показателем, который характеризует экономический результат деятельности организации. Рост прибыли определяет рост потенциальных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возможностей и повышение степени деловой активности. В ходе данного исследования анализировались валовая прибыль, прибыль от продаж, прибыль до налогообложения и чистая прибыль.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Валовая прибыль определяется как выручка от продаж (за минусом НДС, акцизов и аналогичных обязательных платежей) минус себестоимо</w:t>
      </w:r>
      <w:r w:rsidR="00352F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сть проданных услуг. В таблице 6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приведены показатели валовой прибыли ООО «Контакт+» за 2016-2018 гг., а также себестоимости продаж и валовой прибыли.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352F1E" w:rsidP="00042E8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Таблица 6</w:t>
      </w:r>
      <w:r w:rsidR="00042E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Показатели валовой прибыли 2016-2018 гг., 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1554"/>
        <w:gridCol w:w="1556"/>
        <w:gridCol w:w="1500"/>
        <w:gridCol w:w="1572"/>
        <w:gridCol w:w="1517"/>
      </w:tblGrid>
      <w:tr w:rsidR="00042E85" w:rsidRPr="00722C10" w:rsidTr="00352F1E">
        <w:tc>
          <w:tcPr>
            <w:tcW w:w="1656" w:type="dxa"/>
          </w:tcPr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</w:tcPr>
          <w:p w:rsidR="00042E85" w:rsidRPr="003471F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1F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71" w:type="dxa"/>
          </w:tcPr>
          <w:p w:rsidR="00042E85" w:rsidRPr="003471F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1F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37" w:type="dxa"/>
          </w:tcPr>
          <w:p w:rsidR="00042E85" w:rsidRPr="003471F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1F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2017 к 2016</w:t>
            </w:r>
          </w:p>
        </w:tc>
        <w:tc>
          <w:tcPr>
            <w:tcW w:w="1581" w:type="dxa"/>
          </w:tcPr>
          <w:p w:rsidR="00042E85" w:rsidRPr="003471F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1F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48" w:type="dxa"/>
          </w:tcPr>
          <w:p w:rsidR="00042E85" w:rsidRPr="003471F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1F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2018 к 2017</w:t>
            </w:r>
          </w:p>
        </w:tc>
      </w:tr>
      <w:tr w:rsidR="00042E85" w:rsidRPr="00722C10" w:rsidTr="00352F1E">
        <w:tc>
          <w:tcPr>
            <w:tcW w:w="1656" w:type="dxa"/>
          </w:tcPr>
          <w:p w:rsidR="00042E85" w:rsidRPr="00722C10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Выручка от продаж</w:t>
            </w:r>
          </w:p>
        </w:tc>
        <w:tc>
          <w:tcPr>
            <w:tcW w:w="1570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25 056 000</w:t>
            </w:r>
          </w:p>
        </w:tc>
        <w:tc>
          <w:tcPr>
            <w:tcW w:w="1571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12 475 000</w:t>
            </w:r>
          </w:p>
        </w:tc>
        <w:tc>
          <w:tcPr>
            <w:tcW w:w="153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- 12 581 000</w:t>
            </w:r>
          </w:p>
        </w:tc>
        <w:tc>
          <w:tcPr>
            <w:tcW w:w="1581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115 419 000</w:t>
            </w:r>
          </w:p>
        </w:tc>
        <w:tc>
          <w:tcPr>
            <w:tcW w:w="1548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102 944 000</w:t>
            </w:r>
          </w:p>
        </w:tc>
      </w:tr>
      <w:tr w:rsidR="00042E85" w:rsidRPr="00722C10" w:rsidTr="00352F1E">
        <w:tc>
          <w:tcPr>
            <w:tcW w:w="1656" w:type="dxa"/>
          </w:tcPr>
          <w:p w:rsidR="00042E85" w:rsidRPr="00722C10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Себестоимость продаж</w:t>
            </w:r>
          </w:p>
        </w:tc>
        <w:tc>
          <w:tcPr>
            <w:tcW w:w="1570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22 232 000</w:t>
            </w:r>
          </w:p>
        </w:tc>
        <w:tc>
          <w:tcPr>
            <w:tcW w:w="1571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7 070 000</w:t>
            </w:r>
          </w:p>
        </w:tc>
        <w:tc>
          <w:tcPr>
            <w:tcW w:w="153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- 15 162 000</w:t>
            </w:r>
          </w:p>
        </w:tc>
        <w:tc>
          <w:tcPr>
            <w:tcW w:w="1581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101 789 000</w:t>
            </w:r>
          </w:p>
        </w:tc>
        <w:tc>
          <w:tcPr>
            <w:tcW w:w="1548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94 719 000</w:t>
            </w:r>
          </w:p>
        </w:tc>
      </w:tr>
      <w:tr w:rsidR="00042E85" w:rsidRPr="00722C10" w:rsidTr="00352F1E">
        <w:tc>
          <w:tcPr>
            <w:tcW w:w="1656" w:type="dxa"/>
          </w:tcPr>
          <w:p w:rsidR="00042E85" w:rsidRPr="00722C10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Валовая прибыль</w:t>
            </w:r>
          </w:p>
        </w:tc>
        <w:tc>
          <w:tcPr>
            <w:tcW w:w="1570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2 724 000</w:t>
            </w:r>
          </w:p>
        </w:tc>
        <w:tc>
          <w:tcPr>
            <w:tcW w:w="1571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5 415 000</w:t>
            </w:r>
          </w:p>
        </w:tc>
        <w:tc>
          <w:tcPr>
            <w:tcW w:w="153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2 691 000</w:t>
            </w:r>
          </w:p>
        </w:tc>
        <w:tc>
          <w:tcPr>
            <w:tcW w:w="1581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13 630 000</w:t>
            </w:r>
          </w:p>
        </w:tc>
        <w:tc>
          <w:tcPr>
            <w:tcW w:w="1548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8 215 000</w:t>
            </w:r>
          </w:p>
        </w:tc>
      </w:tr>
    </w:tbl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352F1E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Данные таблицы 6</w:t>
      </w:r>
      <w:r w:rsidR="00042E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подтверждают выводы, сделанные в ходе вертикального анализа. Себестоимость продаж в 2018 году выросла вместе с выручкой от продаж. Высокая выручка от продаж в 115 419 тыс. рублей едва покрывает себестоимость продаж в 101 789 тыс. рублей, а валовая прибыль на фоне себестоимости достаточно незначительна и составляет всего 13 630 тыс. рублей. Падение себестоимости продаж в 2017 году по отношению к 2016 году на 15 162 тыс. рублей обусловлено не повышением эффективности производства и оптимизацией производственных процессов, а общим падением объемов продаж. При выручке от продаж в 12 581 тыс. рублей в 2017 году, валовая прибыль составила всего 2 691 тыс. рублей.</w:t>
      </w:r>
    </w:p>
    <w:p w:rsidR="00042E85" w:rsidRDefault="00042E85" w:rsidP="00042E85">
      <w:pPr>
        <w:spacing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Исходя из полученных данных, можно сделать вывод о том, что ООО «Контакт+» необходимо проводить мероприятия по снижению себестоимости продаж. Из всех имеющихся методов наиболее эффективным в данном случае может стать метод оптимизации производственных процессов. Данный метод более трудоемкий, чем другие известные методы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снижения себестоимости, такие как увеличение объемов производства, повышение производительности труда, экономия операционных затрат на производство, но </w:t>
      </w:r>
      <w:r w:rsidRPr="0068047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более эффективный. П</w:t>
      </w:r>
      <w:r w:rsidRPr="006804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оложительный эффект по снижению себестоимости продукции в результате оптимизации производственных процессов вполне может оказаться значительным и даже превосходящим другие способы. К тому же если в результате этой работы у организации действительно повышается эффективность процессов, то почти всегда она приводит к дополнительному снижению себестоимости и по другим путям.</w:t>
      </w:r>
      <w:r w:rsidRPr="0068047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Прибыль от продаж, которая представляет собой валовую прибыль за вычетом коммерческих расходов и управленческих расходов, по данным отчета о финансовых результатах в 2016-2018 гг. равна валовой прибыли от продаж.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352F1E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Таблица 7</w:t>
      </w:r>
      <w:r w:rsidR="00042E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Показатели прибыли от продаж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6"/>
        <w:gridCol w:w="1489"/>
        <w:gridCol w:w="1542"/>
        <w:gridCol w:w="1489"/>
        <w:gridCol w:w="1557"/>
        <w:gridCol w:w="1490"/>
      </w:tblGrid>
      <w:tr w:rsidR="00042E85" w:rsidRPr="00722C10" w:rsidTr="00352F1E">
        <w:tc>
          <w:tcPr>
            <w:tcW w:w="1788" w:type="dxa"/>
          </w:tcPr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:rsidR="00042E85" w:rsidRPr="003471F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1F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6" w:type="dxa"/>
          </w:tcPr>
          <w:p w:rsidR="00042E85" w:rsidRPr="003471F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1F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17" w:type="dxa"/>
          </w:tcPr>
          <w:p w:rsidR="00042E85" w:rsidRPr="003471F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1F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2017 к 2016</w:t>
            </w:r>
          </w:p>
        </w:tc>
        <w:tc>
          <w:tcPr>
            <w:tcW w:w="1567" w:type="dxa"/>
          </w:tcPr>
          <w:p w:rsidR="00042E85" w:rsidRPr="003471F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1F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18" w:type="dxa"/>
          </w:tcPr>
          <w:p w:rsidR="00042E85" w:rsidRPr="003471F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1F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2018 к 2017</w:t>
            </w:r>
          </w:p>
        </w:tc>
      </w:tr>
      <w:tr w:rsidR="00042E85" w:rsidRPr="00722C10" w:rsidTr="00352F1E">
        <w:tc>
          <w:tcPr>
            <w:tcW w:w="1788" w:type="dxa"/>
          </w:tcPr>
          <w:p w:rsidR="00042E85" w:rsidRPr="00722C10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Выручка прибыль от продаж</w:t>
            </w:r>
          </w:p>
        </w:tc>
        <w:tc>
          <w:tcPr>
            <w:tcW w:w="151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2 724 000</w:t>
            </w:r>
          </w:p>
        </w:tc>
        <w:tc>
          <w:tcPr>
            <w:tcW w:w="1556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5 415 000</w:t>
            </w:r>
          </w:p>
        </w:tc>
        <w:tc>
          <w:tcPr>
            <w:tcW w:w="151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2 691 000</w:t>
            </w:r>
          </w:p>
        </w:tc>
        <w:tc>
          <w:tcPr>
            <w:tcW w:w="156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13 630 000</w:t>
            </w:r>
          </w:p>
        </w:tc>
        <w:tc>
          <w:tcPr>
            <w:tcW w:w="1518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8 215 000</w:t>
            </w:r>
          </w:p>
        </w:tc>
      </w:tr>
      <w:tr w:rsidR="00042E85" w:rsidRPr="00722C10" w:rsidTr="00352F1E">
        <w:tc>
          <w:tcPr>
            <w:tcW w:w="1788" w:type="dxa"/>
          </w:tcPr>
          <w:p w:rsidR="00042E85" w:rsidRPr="00722C10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Управленческие расходы</w:t>
            </w:r>
          </w:p>
        </w:tc>
        <w:tc>
          <w:tcPr>
            <w:tcW w:w="151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42E85" w:rsidRPr="00722C10" w:rsidTr="00352F1E">
        <w:tc>
          <w:tcPr>
            <w:tcW w:w="1788" w:type="dxa"/>
          </w:tcPr>
          <w:p w:rsidR="00042E85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Коммерческие расходы</w:t>
            </w:r>
          </w:p>
        </w:tc>
        <w:tc>
          <w:tcPr>
            <w:tcW w:w="151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42E85" w:rsidRPr="00722C10" w:rsidTr="00352F1E">
        <w:tc>
          <w:tcPr>
            <w:tcW w:w="1788" w:type="dxa"/>
          </w:tcPr>
          <w:p w:rsidR="00042E85" w:rsidRPr="00722C10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Прибыль от продаж</w:t>
            </w:r>
          </w:p>
        </w:tc>
        <w:tc>
          <w:tcPr>
            <w:tcW w:w="151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2 724 000</w:t>
            </w:r>
          </w:p>
        </w:tc>
        <w:tc>
          <w:tcPr>
            <w:tcW w:w="1556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5 415 000</w:t>
            </w:r>
          </w:p>
        </w:tc>
        <w:tc>
          <w:tcPr>
            <w:tcW w:w="151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2 691 000</w:t>
            </w:r>
          </w:p>
        </w:tc>
        <w:tc>
          <w:tcPr>
            <w:tcW w:w="156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13 630 000</w:t>
            </w:r>
          </w:p>
        </w:tc>
        <w:tc>
          <w:tcPr>
            <w:tcW w:w="1518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722C10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8 215 000</w:t>
            </w:r>
          </w:p>
        </w:tc>
      </w:tr>
    </w:tbl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Показатели управленческих и к</w:t>
      </w:r>
      <w:r w:rsidR="00352F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оммерческих расходов в таблице 7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равны 0, поскольку управленческие и коммерческие расходы включаются организацией в себестоимость работ и услуг, а поэтому списываются со счета 26 «Общехозяйственные расходы» в дебет счетов 20 «Основное производство», 23 «Вспомогательные производства», 29 «Обслуживающие производства и хозяйства». </w:t>
      </w:r>
    </w:p>
    <w:p w:rsidR="00042E85" w:rsidRDefault="00042E85" w:rsidP="00042E85">
      <w:pPr>
        <w:spacing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Также была проанализирована прибыль до налогообложения (операционная прибыль). Это важный промежуточный показатель между валовой и чистой прибылью, который свидетельствует об эффективности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деятельности организации в целом. Источником сведений о прибыли до налогообложения является отчет о финансовых результатах. Структура прибыли до налогообложения такова: </w:t>
      </w:r>
      <w:r w:rsidRPr="00C112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Прибыль от продаж + Проценты к получению – Проценты к уплате + Доходы от участия в других организациях + Прочие операционные доходы – Прочие операционные расходы + Внереализационные доходы – Внереализационные расходы.</w:t>
      </w:r>
    </w:p>
    <w:p w:rsidR="00042E85" w:rsidRDefault="00042E85" w:rsidP="00352F1E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352F1E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Таблица 8</w:t>
      </w:r>
      <w:r w:rsidR="00042E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Прибыль до налогообложения ООО «Контакт+»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2"/>
        <w:gridCol w:w="1458"/>
        <w:gridCol w:w="1527"/>
        <w:gridCol w:w="1459"/>
        <w:gridCol w:w="1527"/>
        <w:gridCol w:w="1460"/>
      </w:tblGrid>
      <w:tr w:rsidR="00042E85" w:rsidRPr="00C1126F" w:rsidTr="00352F1E">
        <w:tc>
          <w:tcPr>
            <w:tcW w:w="1923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26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41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26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86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26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2017 к 2016</w:t>
            </w:r>
          </w:p>
        </w:tc>
        <w:tc>
          <w:tcPr>
            <w:tcW w:w="1541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26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87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26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2018 к 2017</w:t>
            </w:r>
          </w:p>
        </w:tc>
      </w:tr>
      <w:tr w:rsidR="00042E85" w:rsidRPr="00C1126F" w:rsidTr="00352F1E">
        <w:tc>
          <w:tcPr>
            <w:tcW w:w="1923" w:type="dxa"/>
          </w:tcPr>
          <w:p w:rsidR="00042E85" w:rsidRPr="00C1126F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485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2 724 000</w:t>
            </w:r>
          </w:p>
        </w:tc>
        <w:tc>
          <w:tcPr>
            <w:tcW w:w="1541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5 107 000</w:t>
            </w:r>
          </w:p>
        </w:tc>
        <w:tc>
          <w:tcPr>
            <w:tcW w:w="1486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2 383 000</w:t>
            </w:r>
          </w:p>
        </w:tc>
        <w:tc>
          <w:tcPr>
            <w:tcW w:w="1541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8 961 000</w:t>
            </w:r>
          </w:p>
        </w:tc>
        <w:tc>
          <w:tcPr>
            <w:tcW w:w="1487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3 854 000</w:t>
            </w:r>
          </w:p>
        </w:tc>
      </w:tr>
    </w:tbl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Прибыль до налогообложения ООО «Контакт+» имеет положительную динамику, что свидетельствует об эффективности управления. Графически динамику прибыли до налогоо</w:t>
      </w:r>
      <w:r w:rsidR="00352F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бложения демонстрирует Рисунок 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3A02F5" wp14:editId="1490710F">
            <wp:extent cx="4638675" cy="2813770"/>
            <wp:effectExtent l="0" t="0" r="0" b="0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2E85" w:rsidRDefault="00352F1E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Рисунок 4</w:t>
      </w:r>
      <w:r w:rsidR="00042E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Динамика прибыли до налогообложения в 2016-2018 гг.</w:t>
      </w:r>
    </w:p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</w:p>
    <w:p w:rsidR="00042E85" w:rsidRPr="000320B4" w:rsidRDefault="00042E85" w:rsidP="00042E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этапе анализа финансовых результатов необходима оценка показателей рентабельности. Данные показатели описывают производительность работы организации в целом, доходность разных </w:t>
      </w:r>
      <w:r w:rsidRPr="00032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направлений деятельности (производственной, предпринимательской, инвестиционной), окупаемость затрат и т.д. Они более широко, чем прибыль, описывают конечные результаты деятельности, потому что их величина характеризует соотношение эффекта с наличными или использованными ресурсами.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помощью данных Отчета о финансовых результатах, а также данных некоторых статей бухгалтерского баланса </w:t>
      </w:r>
      <w:r w:rsidRPr="008012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был рассчитан ряд коэффициентов рентабельности</w:t>
      </w:r>
      <w:r>
        <w:rPr>
          <w:rStyle w:val="a9"/>
          <w:sz w:val="28"/>
          <w:szCs w:val="28"/>
          <w:bdr w:val="none" w:sz="0" w:space="0" w:color="auto" w:frame="1"/>
        </w:rPr>
        <w:footnoteReference w:id="18"/>
      </w:r>
      <w:r w:rsidRPr="008012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42E85" w:rsidRDefault="00042E85" w:rsidP="00042E85">
      <w:pPr>
        <w:spacing w:line="360" w:lineRule="auto"/>
        <w:ind w:left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Был рассчитан коэффициент рентабельности собственного капитала. Коэффициент рассчитывался по формуле: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Чистая прибыль (строка 2400)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Собственный капитал (строка 1300)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х100%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    (4)</w:t>
      </w:r>
    </w:p>
    <w:p w:rsidR="00042E85" w:rsidRDefault="00042E85" w:rsidP="00042E85">
      <w:pPr>
        <w:spacing w:line="36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рентабельности собственного капитала для 2016 года: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2 315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5 987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х100%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= 38,6%</w:t>
      </w:r>
    </w:p>
    <w:p w:rsidR="00042E85" w:rsidRDefault="00042E85" w:rsidP="00042E85">
      <w:pPr>
        <w:spacing w:line="36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рентабельности собственного капитала для 2017 года: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5 107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4 541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х100%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= 111,7%</w:t>
      </w:r>
    </w:p>
    <w:p w:rsidR="00042E85" w:rsidRDefault="00042E85" w:rsidP="00042E85">
      <w:pPr>
        <w:spacing w:line="36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рентабельности собственного капитала для 2018 года: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10 451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16 661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х100%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= 62,7%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C64526">
        <w:rPr>
          <w:rFonts w:ascii="Times New Roman" w:eastAsiaTheme="minorEastAsia" w:hAnsi="Times New Roman" w:cs="Times New Roman"/>
          <w:sz w:val="28"/>
          <w:szCs w:val="28"/>
        </w:rPr>
        <w:t>Полученные данные свидетельствуют о высоком уровне рентабельности собственног</w:t>
      </w:r>
      <w:r>
        <w:rPr>
          <w:rFonts w:ascii="Times New Roman" w:eastAsiaTheme="minorEastAsia" w:hAnsi="Times New Roman" w:cs="Times New Roman"/>
          <w:sz w:val="28"/>
          <w:szCs w:val="28"/>
        </w:rPr>
        <w:t>о капитала и привлекательности. С</w:t>
      </w:r>
      <w:r w:rsidRPr="00C64526">
        <w:rPr>
          <w:rFonts w:ascii="Times New Roman" w:eastAsiaTheme="minorEastAsia" w:hAnsi="Times New Roman" w:cs="Times New Roman"/>
          <w:sz w:val="28"/>
          <w:szCs w:val="28"/>
        </w:rPr>
        <w:t xml:space="preserve"> этой точки зрения ООО «Контакт+»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интересен </w:t>
      </w:r>
      <w:r w:rsidRPr="00C64526">
        <w:rPr>
          <w:rFonts w:ascii="Times New Roman" w:eastAsiaTheme="minorEastAsia" w:hAnsi="Times New Roman" w:cs="Times New Roman"/>
          <w:sz w:val="28"/>
          <w:szCs w:val="28"/>
        </w:rPr>
        <w:t>для инвесторов в случае, если организация решит привлекать для ведения бизнеса средства инвесторов.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Высокий уровень рентабельности собственного капитала свидетельствует также о финансовой устойчивости организации.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Был рассчитан коэффициент рентабельности активов. Коэффициент рассчитывался по формуле: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Чистая прибыль (строка 2400)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Активы (строка 1600)</m:t>
            </m:r>
          </m:den>
        </m:f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>х100%        (5)</w:t>
      </w:r>
    </w:p>
    <w:p w:rsidR="00042E85" w:rsidRDefault="00042E85" w:rsidP="00042E85">
      <w:pPr>
        <w:spacing w:line="36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рентабельности активов для 2016 года: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2 315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7 158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х100%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= 32,3%</w:t>
      </w:r>
    </w:p>
    <w:p w:rsidR="00042E85" w:rsidRDefault="00042E85" w:rsidP="00042E85">
      <w:pPr>
        <w:spacing w:line="36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рентабельности активов для 2017 года: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5 107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21 447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х100%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= 23,8%</w:t>
      </w:r>
    </w:p>
    <w:p w:rsidR="00042E85" w:rsidRDefault="00042E85" w:rsidP="00042E85">
      <w:pPr>
        <w:spacing w:line="36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рентабельности активов для 2018 года: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10 451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22 790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х100% 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>= 45,8%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Высокая рентабельность активов в 2016–2018 годах свидетельствует о том, что организация эффективно управляет своим имуществом и занимает прочное положение. </w:t>
      </w:r>
      <w:r w:rsidRPr="005E271F">
        <w:rPr>
          <w:rFonts w:ascii="Times New Roman" w:eastAsiaTheme="minorEastAsia" w:hAnsi="Times New Roman" w:cs="Times New Roman"/>
          <w:sz w:val="28"/>
          <w:szCs w:val="28"/>
        </w:rPr>
        <w:t xml:space="preserve">Более подробный анализ </w:t>
      </w:r>
      <w:r>
        <w:rPr>
          <w:rFonts w:ascii="Times New Roman" w:eastAsiaTheme="minorEastAsia" w:hAnsi="Times New Roman" w:cs="Times New Roman"/>
          <w:sz w:val="28"/>
          <w:szCs w:val="28"/>
        </w:rPr>
        <w:t>финансовых результатов</w:t>
      </w:r>
      <w:r w:rsidRPr="005E271F">
        <w:rPr>
          <w:rFonts w:ascii="Times New Roman" w:eastAsiaTheme="minorEastAsia" w:hAnsi="Times New Roman" w:cs="Times New Roman"/>
          <w:sz w:val="28"/>
          <w:szCs w:val="28"/>
        </w:rPr>
        <w:t xml:space="preserve"> на основе бухгалтерского баланса проведен в п. 2.3 Главы 2 настоящего исследования.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42E85" w:rsidRPr="000D66BA" w:rsidRDefault="00042E85" w:rsidP="00042E85">
      <w:pPr>
        <w:spacing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Важнейшим показателем финансового результата деятельности ООО «Контакт+» является чистая прибыль, т.е. та сумма денежных средств, которая остается в распоряжении организации после всех обязательных платежей, и которая может быть направлена на дальнейшее развитие бизнеса. </w:t>
      </w:r>
    </w:p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352F1E" w:rsidP="00042E8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Таблица 9</w:t>
      </w:r>
      <w:r w:rsidR="00042E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Чистая прибыль ООО «Контакт+»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596"/>
      </w:tblGrid>
      <w:tr w:rsidR="00042E85" w:rsidRPr="00C1126F" w:rsidTr="00352F1E">
        <w:tc>
          <w:tcPr>
            <w:tcW w:w="1487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26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26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26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2017 к 2016</w:t>
            </w:r>
          </w:p>
        </w:tc>
        <w:tc>
          <w:tcPr>
            <w:tcW w:w="1595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26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26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2018 к 2017</w:t>
            </w:r>
          </w:p>
        </w:tc>
      </w:tr>
      <w:tr w:rsidR="00042E85" w:rsidRPr="00C1126F" w:rsidTr="00352F1E">
        <w:tc>
          <w:tcPr>
            <w:tcW w:w="1487" w:type="dxa"/>
          </w:tcPr>
          <w:p w:rsidR="00042E85" w:rsidRPr="00C1126F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Чистая прибыль</w:t>
            </w:r>
          </w:p>
        </w:tc>
        <w:tc>
          <w:tcPr>
            <w:tcW w:w="1595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2 315 000</w:t>
            </w:r>
          </w:p>
        </w:tc>
        <w:tc>
          <w:tcPr>
            <w:tcW w:w="1595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5 107 000</w:t>
            </w:r>
          </w:p>
        </w:tc>
        <w:tc>
          <w:tcPr>
            <w:tcW w:w="1595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2 792 000</w:t>
            </w:r>
          </w:p>
        </w:tc>
        <w:tc>
          <w:tcPr>
            <w:tcW w:w="1595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10 451 000</w:t>
            </w:r>
          </w:p>
        </w:tc>
        <w:tc>
          <w:tcPr>
            <w:tcW w:w="1596" w:type="dxa"/>
          </w:tcPr>
          <w:p w:rsidR="00042E85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042E85" w:rsidRPr="00C1126F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5 344 000</w:t>
            </w:r>
          </w:p>
        </w:tc>
      </w:tr>
    </w:tbl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Динамика чистой прибыли имеет положительную направленность, что свидетельствует об эффективности деятельности организации, росте ее деловой активности. Чистая прибыль в 2017 году выросла  на 120% по отношению к 2016 году, а в 2018 на 104% по отношению к 2017 году. Если в 2016 году удельный вес чистой прибыли в выручке от реализации составлял 9,2%, то в 2017 году этот показатель вырос до 40,9% (+ 31,7 пп). В 2018 году удельный вес чистой прибыли в выручке от реализации составил 9,0%, т. е. имело место падение по сравнению с 2017 годом на 31,9 пп. Скачок доли чистой прибыли в структуре выручки 2017 года был вызван увеличением объемов производства, что является одним из методов увеличения чистой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прибыли. В 2018 году, несмотря на дальнейший рост объемов производства и рост чистой прибыли в сравнении с 2017 годом, увеличения доли чистой прибыли уже не произошло из-за высокой себестоимости услуг и работ ООО «Контакт+»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Графически динамика чистой прибыли ООО «Кон</w:t>
      </w:r>
      <w:r w:rsidR="00352F1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такт+» представлена на рисунке 5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44E1030" wp14:editId="41CFBCB5">
            <wp:extent cx="5543550" cy="3371850"/>
            <wp:effectExtent l="0" t="0" r="0" b="0"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2E85" w:rsidRDefault="00352F1E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Рисунок 5</w:t>
      </w:r>
      <w:r w:rsidR="00042E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Динамика чистой прибыли в 2016-2018 гг.</w:t>
      </w:r>
    </w:p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42E85" w:rsidRDefault="00042E85" w:rsidP="00352F1E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Имеющиеся данные позволяют рассчитать коэффициенты рентабельности продаж для 2016-2018 гг</w:t>
      </w:r>
      <w:r>
        <w:rPr>
          <w:rStyle w:val="a9"/>
          <w:rFonts w:eastAsiaTheme="minorEastAsia"/>
          <w:color w:val="000000" w:themeColor="text1"/>
          <w:sz w:val="28"/>
          <w:szCs w:val="28"/>
        </w:rPr>
        <w:footnoteReference w:id="19"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Рентабельность продаж представляет собой показатель, свидетельствующий о процентном выражении доли прибыли от каждого заработанного рубля. </w:t>
      </w:r>
    </w:p>
    <w:p w:rsidR="00042E85" w:rsidRDefault="00042E85" w:rsidP="00042E8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рентабельности продаж рассчитывался по формуле: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Чистая прибыль (строка 2400)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Выручка (строка 2110)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х100%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        (6)</w:t>
      </w:r>
    </w:p>
    <w:p w:rsidR="00042E85" w:rsidRDefault="00042E85" w:rsidP="00042E85">
      <w:pPr>
        <w:spacing w:line="36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рентабельности продаж для 2016 года: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2 315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25 056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х100%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= 9,2%</w:t>
      </w:r>
    </w:p>
    <w:p w:rsidR="00042E85" w:rsidRDefault="00042E85" w:rsidP="00042E85">
      <w:pPr>
        <w:spacing w:line="36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рентабельности продаж для 2017 года: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5 107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12 475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х100%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= 40,9%</w:t>
      </w:r>
    </w:p>
    <w:p w:rsidR="00042E85" w:rsidRDefault="00042E85" w:rsidP="00042E85">
      <w:pPr>
        <w:spacing w:line="36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рентабельности продаж для 2018 года:</w:t>
      </w:r>
    </w:p>
    <w:p w:rsidR="00042E85" w:rsidRDefault="00ED476C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10 092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х100%</m:t>
        </m:r>
      </m:oMath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= 9,0%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Полученные данные свидетельствуют о том, что в 2017 году произошел рост рентабельности продаж до 40%, т. е. уровня, при котором организация может начинать рисковать, развивать бизнес самостоятельно и привлекать чужие средства. Однако в 2018 году показатель рентабельности существенно снизился и, несмотря на то, что оставался положительным, уже не позволял ООО «Контакт+» осваивать новые направления бизнеса. Графически динамика коэффициента рентабельности </w:t>
      </w:r>
      <w:r w:rsidR="00352F1E">
        <w:rPr>
          <w:rFonts w:ascii="Times New Roman" w:eastAsiaTheme="minorEastAsia" w:hAnsi="Times New Roman" w:cs="Times New Roman"/>
          <w:sz w:val="28"/>
          <w:szCs w:val="28"/>
        </w:rPr>
        <w:t>продаж представлена на рисунке 6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7393B" wp14:editId="33AB5F3B">
            <wp:extent cx="4819650" cy="3267075"/>
            <wp:effectExtent l="0" t="0" r="0" b="0"/>
            <wp:docPr id="10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2E85" w:rsidRDefault="00352F1E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Рисунок 6</w:t>
      </w:r>
      <w:r w:rsidR="00042E85">
        <w:rPr>
          <w:rFonts w:ascii="Times New Roman" w:eastAsiaTheme="minorEastAsia" w:hAnsi="Times New Roman" w:cs="Times New Roman"/>
          <w:sz w:val="28"/>
          <w:szCs w:val="28"/>
        </w:rPr>
        <w:t>. Показатели рентабельности продаж в 2016-2018 гг., %</w:t>
      </w:r>
    </w:p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042E85" w:rsidRDefault="00042E85" w:rsidP="00352F1E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Поскольку коэффициент рентабельности продаж чаще всего используется для сравнения эффективности деятельности организации с показателями других организаций отрасли, был проведен сравнительный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анализ с ближайшими конкурентами ООО «КДС» и ООО «Квадрат». Анализ проводился на основании открытых данных бухгалтерской отчетности за 2016-2018 гг</w:t>
      </w:r>
      <w:r>
        <w:rPr>
          <w:rStyle w:val="a9"/>
          <w:rFonts w:eastAsiaTheme="minorEastAsia"/>
          <w:sz w:val="28"/>
          <w:szCs w:val="28"/>
        </w:rPr>
        <w:footnoteReference w:id="20"/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042E85" w:rsidRDefault="00352F1E" w:rsidP="00042E85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10</w:t>
      </w:r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 – Показатели коэффициентов рентабельности продаж, 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596"/>
      </w:tblGrid>
      <w:tr w:rsidR="00042E85" w:rsidRPr="0012520B" w:rsidTr="00352F1E">
        <w:tc>
          <w:tcPr>
            <w:tcW w:w="1487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252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252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252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2017 к 2016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252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252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2018 к 2017</w:t>
            </w:r>
          </w:p>
        </w:tc>
      </w:tr>
      <w:tr w:rsidR="00042E85" w:rsidRPr="0012520B" w:rsidTr="00352F1E">
        <w:tc>
          <w:tcPr>
            <w:tcW w:w="1487" w:type="dxa"/>
          </w:tcPr>
          <w:p w:rsidR="00042E85" w:rsidRPr="0012520B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Контакт+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96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31,9</w:t>
            </w:r>
          </w:p>
        </w:tc>
      </w:tr>
      <w:tr w:rsidR="00042E85" w:rsidRPr="0012520B" w:rsidTr="00352F1E">
        <w:tc>
          <w:tcPr>
            <w:tcW w:w="1487" w:type="dxa"/>
          </w:tcPr>
          <w:p w:rsidR="00042E85" w:rsidRPr="0012520B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КДС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96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0,3</w:t>
            </w:r>
          </w:p>
        </w:tc>
      </w:tr>
      <w:tr w:rsidR="00042E85" w:rsidRPr="0012520B" w:rsidTr="00352F1E">
        <w:tc>
          <w:tcPr>
            <w:tcW w:w="1487" w:type="dxa"/>
          </w:tcPr>
          <w:p w:rsidR="00042E85" w:rsidRPr="0012520B" w:rsidRDefault="00042E85" w:rsidP="00042E8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1595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96" w:type="dxa"/>
          </w:tcPr>
          <w:p w:rsidR="00042E85" w:rsidRPr="0012520B" w:rsidRDefault="00042E85" w:rsidP="00042E8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-0,8</w:t>
            </w:r>
          </w:p>
        </w:tc>
      </w:tr>
    </w:tbl>
    <w:p w:rsidR="00042E85" w:rsidRDefault="00042E85" w:rsidP="00042E85">
      <w:pPr>
        <w:spacing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Графически результаты расчета коэффициентов рентабельности продаж для трех орган</w:t>
      </w:r>
      <w:r w:rsidR="00352F1E">
        <w:rPr>
          <w:rFonts w:ascii="Times New Roman" w:eastAsiaTheme="minorEastAsia" w:hAnsi="Times New Roman" w:cs="Times New Roman"/>
          <w:sz w:val="28"/>
          <w:szCs w:val="28"/>
        </w:rPr>
        <w:t>изаций представлены на рисунке 7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12942" wp14:editId="2048A61D">
            <wp:extent cx="5457825" cy="3124200"/>
            <wp:effectExtent l="0" t="0" r="0" b="0"/>
            <wp:docPr id="11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2E85" w:rsidRDefault="00352F1E" w:rsidP="00042E85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Рисунок 7</w:t>
      </w:r>
      <w:r w:rsidR="00042E85">
        <w:rPr>
          <w:rFonts w:ascii="Times New Roman" w:eastAsiaTheme="minorEastAsia" w:hAnsi="Times New Roman" w:cs="Times New Roman"/>
          <w:sz w:val="28"/>
          <w:szCs w:val="28"/>
        </w:rPr>
        <w:t xml:space="preserve">. Показатели коэффициентов рентабельности продаж </w:t>
      </w: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2016-2018 гг., %</w:t>
      </w:r>
    </w:p>
    <w:p w:rsidR="00042E85" w:rsidRDefault="00042E85" w:rsidP="00042E85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42E85" w:rsidRDefault="00042E85" w:rsidP="00042E85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Полученные данные свидетельствуют о том, что рентабельность продаж ООО «Контакт+» выше, чем у конкурентов. ООО «Контакт+» не демонстрирует отрицательной динамики рентабельности, у конкурентов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отсутствуют скачки рентабельности подобно тому, который был характерен для ООО «Контакт+» в 2017 году.</w:t>
      </w: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52F1E" w:rsidRPr="00DA2732" w:rsidRDefault="00352F1E" w:rsidP="00DA2732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bookmarkStart w:id="4" w:name="_Toc7333908"/>
      <w:r w:rsidRPr="00DA273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/>
        </w:rPr>
        <w:lastRenderedPageBreak/>
        <w:t>VII</w:t>
      </w:r>
      <w:r w:rsidRPr="00DA2732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. </w:t>
      </w:r>
      <w:r w:rsidR="00DA2732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Разработка рекомендаций</w:t>
      </w:r>
      <w:r w:rsidRPr="00DA2732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по оптимизации расходов</w:t>
      </w:r>
      <w:bookmarkEnd w:id="4"/>
    </w:p>
    <w:p w:rsidR="00042E85" w:rsidRDefault="00042E85" w:rsidP="00DA2732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2732" w:rsidRDefault="00DA2732" w:rsidP="00DA2732">
      <w:pPr>
        <w:spacing w:after="0" w:line="240" w:lineRule="auto"/>
        <w:contextualSpacing/>
      </w:pPr>
    </w:p>
    <w:p w:rsidR="00DA2732" w:rsidRPr="00DA2732" w:rsidRDefault="00DA2732" w:rsidP="00DA2732">
      <w:pPr>
        <w:spacing w:after="0" w:line="240" w:lineRule="auto"/>
        <w:contextualSpacing/>
      </w:pPr>
    </w:p>
    <w:p w:rsidR="0003673F" w:rsidRDefault="00352F1E" w:rsidP="00352F1E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673F">
        <w:rPr>
          <w:rFonts w:ascii="Times New Roman" w:hAnsi="Times New Roman" w:cs="Times New Roman"/>
          <w:sz w:val="28"/>
          <w:szCs w:val="28"/>
        </w:rPr>
        <w:t xml:space="preserve">редполагается увеличить доходность ООО «Контакт+»  за счет сокращения части текущих расходов. </w:t>
      </w:r>
      <w:r w:rsidR="0003673F" w:rsidRPr="00A30186">
        <w:rPr>
          <w:rFonts w:ascii="Times New Roman" w:hAnsi="Times New Roman" w:cs="Times New Roman"/>
          <w:sz w:val="28"/>
          <w:szCs w:val="28"/>
        </w:rPr>
        <w:t xml:space="preserve">Известно, что ускорение оборачиваемости запасов влияет на итоговый финансовый результат предприятия и текущие расходы. Также, как и в случае с поставщиками и заказчиками, необходимо подразделение запасов на группы А, В и С по стоимости приобретения и затратам на хранение. </w:t>
      </w:r>
      <w:r w:rsidR="0003673F">
        <w:rPr>
          <w:rFonts w:ascii="Times New Roman" w:hAnsi="Times New Roman" w:cs="Times New Roman"/>
          <w:sz w:val="28"/>
          <w:szCs w:val="28"/>
        </w:rPr>
        <w:t xml:space="preserve">Это позволит контролировать запасы, своевременно и эффективно регулируя объем групп. </w:t>
      </w:r>
      <w:r w:rsidR="0003673F" w:rsidRPr="00A30186">
        <w:rPr>
          <w:rFonts w:ascii="Times New Roman" w:hAnsi="Times New Roman" w:cs="Times New Roman"/>
          <w:sz w:val="28"/>
          <w:szCs w:val="28"/>
        </w:rPr>
        <w:t xml:space="preserve">В группу А </w:t>
      </w:r>
      <w:r w:rsidR="0003673F" w:rsidRPr="00A30186">
        <w:rPr>
          <w:rFonts w:ascii="Times New Roman" w:hAnsi="Times New Roman" w:cs="Times New Roman"/>
          <w:color w:val="000000"/>
          <w:sz w:val="28"/>
          <w:szCs w:val="28"/>
        </w:rPr>
        <w:t> группу класса А включаются немногочисленные запасы, в которые вложена большая часть финансовых средств. Они предполагают тщательный контроль и точное определение затрат (на транспорт, хранение, величину партий и т.д.).</w:t>
      </w:r>
      <w:r w:rsidR="0003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73F" w:rsidRPr="00A3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В представляет собой запасы, занимающие среднее положение в формировании запасов организации с менее тщательным контролем (по сравнению с группой 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73F" w:rsidRPr="00A3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запасам группы С относят второстепенные ресурсы предприятия, в которых отражена меньшая часть всех вложенных в запасы финансов. Точные оптимизационные расчеты объемов </w:t>
      </w:r>
      <w:r w:rsidR="000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партий и затрат для этой группы </w:t>
      </w:r>
      <w:r w:rsidR="0003673F" w:rsidRPr="00A3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ведутся, а уровень контроля минимален.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таблице 10</w:t>
      </w:r>
      <w:r w:rsidR="000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принцип ранжирования запасов по группам. </w:t>
      </w:r>
    </w:p>
    <w:p w:rsidR="0003673F" w:rsidRDefault="0003673F" w:rsidP="0003673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3F" w:rsidRPr="00A30186" w:rsidRDefault="00352F1E" w:rsidP="00352F1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10</w:t>
      </w:r>
      <w:r w:rsidR="000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Принцип ранжирования запасов по группам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1"/>
        <w:gridCol w:w="2384"/>
        <w:gridCol w:w="4860"/>
      </w:tblGrid>
      <w:tr w:rsidR="0003673F" w:rsidTr="00FA2AB9"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Группа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Количество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Стоимость закупки и хранения</w:t>
            </w:r>
          </w:p>
        </w:tc>
      </w:tr>
      <w:tr w:rsidR="0003673F" w:rsidTr="00FA2AB9"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А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20%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80%</w:t>
            </w:r>
          </w:p>
        </w:tc>
      </w:tr>
      <w:tr w:rsidR="0003673F" w:rsidTr="00FA2AB9"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В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30%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15%</w:t>
            </w:r>
          </w:p>
        </w:tc>
      </w:tr>
      <w:tr w:rsidR="0003673F" w:rsidTr="00FA2AB9"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С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50%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5%</w:t>
            </w:r>
          </w:p>
        </w:tc>
      </w:tr>
    </w:tbl>
    <w:p w:rsidR="0003673F" w:rsidRDefault="0003673F" w:rsidP="000367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3F" w:rsidRPr="000C4AA2" w:rsidRDefault="0003673F" w:rsidP="000367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оценка годового потребления строительных и облицовочных материалов, составляющих 10 основных категорий запасов. Полученные резу</w:t>
      </w:r>
      <w:r w:rsidR="00352F1E">
        <w:rPr>
          <w:rFonts w:ascii="Times New Roman" w:hAnsi="Times New Roman" w:cs="Times New Roman"/>
          <w:sz w:val="28"/>
          <w:szCs w:val="28"/>
        </w:rPr>
        <w:t>льтаты представлены в таблице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3F" w:rsidRDefault="00352F1E" w:rsidP="00352F1E">
      <w:pPr>
        <w:pStyle w:val="p16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11</w:t>
      </w:r>
      <w:r w:rsidR="0003673F">
        <w:rPr>
          <w:color w:val="000000"/>
          <w:sz w:val="28"/>
          <w:szCs w:val="28"/>
        </w:rPr>
        <w:t xml:space="preserve"> – Годовое потребление строительных и облицовочных материалов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"/>
        <w:gridCol w:w="2112"/>
        <w:gridCol w:w="2186"/>
        <w:gridCol w:w="2224"/>
        <w:gridCol w:w="2107"/>
      </w:tblGrid>
      <w:tr w:rsidR="0003673F" w:rsidRPr="007A459C" w:rsidTr="00FA2AB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</w:rPr>
            </w:pPr>
            <w:r w:rsidRPr="007A459C">
              <w:rPr>
                <w:rStyle w:val="s6"/>
                <w:b/>
                <w:color w:val="000000"/>
              </w:rPr>
              <w:t>Вид</w:t>
            </w:r>
          </w:p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</w:rPr>
            </w:pPr>
            <w:r w:rsidRPr="007A459C">
              <w:rPr>
                <w:rStyle w:val="s6"/>
                <w:b/>
                <w:color w:val="000000"/>
              </w:rPr>
              <w:t>запаса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</w:rPr>
            </w:pPr>
            <w:r w:rsidRPr="007A459C">
              <w:rPr>
                <w:rStyle w:val="s6"/>
                <w:b/>
                <w:color w:val="000000"/>
              </w:rPr>
              <w:t xml:space="preserve">Стоимость единицы, тыс. руб.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</w:rPr>
            </w:pPr>
            <w:r w:rsidRPr="007A459C">
              <w:rPr>
                <w:rStyle w:val="s6"/>
                <w:b/>
                <w:color w:val="000000"/>
              </w:rPr>
              <w:t>Годовое потребление, шт.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</w:rPr>
            </w:pPr>
            <w:r w:rsidRPr="007A459C">
              <w:rPr>
                <w:rStyle w:val="s6"/>
                <w:b/>
                <w:color w:val="000000"/>
              </w:rPr>
              <w:t>Годовое потребление, тыс. руб.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</w:rPr>
            </w:pPr>
            <w:r w:rsidRPr="007A459C">
              <w:rPr>
                <w:rStyle w:val="s6"/>
                <w:b/>
                <w:color w:val="000000"/>
              </w:rPr>
              <w:t>Годовое потребление, %</w:t>
            </w:r>
          </w:p>
        </w:tc>
      </w:tr>
      <w:tr w:rsidR="0003673F" w:rsidRPr="007A459C" w:rsidTr="00FA2AB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05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 xml:space="preserve">50 </w:t>
            </w:r>
            <w:r w:rsidRPr="007A459C">
              <w:rPr>
                <w:rStyle w:val="s6"/>
                <w:color w:val="000000"/>
              </w:rPr>
              <w:t>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 xml:space="preserve">2 </w:t>
            </w:r>
            <w:r w:rsidRPr="007A459C">
              <w:rPr>
                <w:rStyle w:val="s6"/>
                <w:color w:val="000000"/>
              </w:rPr>
              <w:t>500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34,</w:t>
            </w:r>
            <w:r w:rsidRPr="007A459C">
              <w:rPr>
                <w:rStyle w:val="s6"/>
                <w:color w:val="000000"/>
              </w:rPr>
              <w:t>3</w:t>
            </w:r>
          </w:p>
        </w:tc>
      </w:tr>
      <w:tr w:rsidR="0003673F" w:rsidRPr="007A459C" w:rsidTr="00FA2AB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11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 xml:space="preserve">2 </w:t>
            </w:r>
            <w:r w:rsidRPr="007A459C">
              <w:rPr>
                <w:rStyle w:val="s6"/>
                <w:color w:val="000000"/>
              </w:rPr>
              <w:t>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220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3,</w:t>
            </w:r>
            <w:r w:rsidRPr="007A459C">
              <w:rPr>
                <w:rStyle w:val="s6"/>
                <w:color w:val="000000"/>
              </w:rPr>
              <w:t>0</w:t>
            </w:r>
          </w:p>
        </w:tc>
      </w:tr>
      <w:tr w:rsidR="0003673F" w:rsidRPr="007A459C" w:rsidTr="00FA2AB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16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400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64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9</w:t>
            </w:r>
          </w:p>
        </w:tc>
      </w:tr>
      <w:tr w:rsidR="0003673F" w:rsidRPr="007A459C" w:rsidTr="00FA2AB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08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700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56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8</w:t>
            </w:r>
          </w:p>
        </w:tc>
      </w:tr>
      <w:tr w:rsidR="0003673F" w:rsidRPr="007A459C" w:rsidTr="00FA2AB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07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 xml:space="preserve">4 </w:t>
            </w:r>
            <w:r w:rsidRPr="007A459C">
              <w:rPr>
                <w:rStyle w:val="s6"/>
                <w:color w:val="000000"/>
              </w:rPr>
              <w:t>800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336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4,</w:t>
            </w:r>
            <w:r w:rsidRPr="007A459C">
              <w:rPr>
                <w:rStyle w:val="s6"/>
                <w:color w:val="000000"/>
              </w:rPr>
              <w:t>6</w:t>
            </w:r>
          </w:p>
        </w:tc>
      </w:tr>
      <w:tr w:rsidR="0003673F" w:rsidRPr="007A459C" w:rsidTr="00FA2AB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15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 xml:space="preserve">1 </w:t>
            </w:r>
            <w:r w:rsidRPr="007A459C">
              <w:rPr>
                <w:rStyle w:val="s6"/>
                <w:color w:val="000000"/>
              </w:rPr>
              <w:t>300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195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2,</w:t>
            </w:r>
            <w:r w:rsidRPr="007A459C">
              <w:rPr>
                <w:rStyle w:val="s6"/>
                <w:color w:val="000000"/>
              </w:rPr>
              <w:t>7</w:t>
            </w:r>
          </w:p>
        </w:tc>
      </w:tr>
      <w:tr w:rsidR="0003673F" w:rsidRPr="007A459C" w:rsidTr="00FA2AB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20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 xml:space="preserve">17 </w:t>
            </w:r>
            <w:r w:rsidRPr="007A459C">
              <w:rPr>
                <w:rStyle w:val="s6"/>
                <w:color w:val="000000"/>
              </w:rPr>
              <w:t>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 xml:space="preserve">3 </w:t>
            </w:r>
            <w:r w:rsidRPr="007A459C">
              <w:rPr>
                <w:rStyle w:val="s6"/>
                <w:color w:val="000000"/>
              </w:rPr>
              <w:t>400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46,</w:t>
            </w:r>
            <w:r w:rsidRPr="007A459C">
              <w:rPr>
                <w:rStyle w:val="s6"/>
                <w:color w:val="000000"/>
              </w:rPr>
              <w:t>7</w:t>
            </w:r>
          </w:p>
        </w:tc>
      </w:tr>
      <w:tr w:rsidR="0003673F" w:rsidRPr="007A459C" w:rsidTr="00FA2AB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04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300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12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2</w:t>
            </w:r>
          </w:p>
        </w:tc>
      </w:tr>
      <w:tr w:rsidR="0003673F" w:rsidRPr="007A459C" w:rsidTr="00FA2AB9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09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 xml:space="preserve">5 </w:t>
            </w:r>
            <w:r w:rsidRPr="007A459C">
              <w:rPr>
                <w:rStyle w:val="s6"/>
                <w:color w:val="000000"/>
              </w:rPr>
              <w:t>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450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7A459C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6,</w:t>
            </w:r>
            <w:r w:rsidRPr="007A459C">
              <w:rPr>
                <w:rStyle w:val="s6"/>
                <w:color w:val="000000"/>
              </w:rPr>
              <w:t>2</w:t>
            </w:r>
          </w:p>
        </w:tc>
      </w:tr>
      <w:tr w:rsidR="00352F1E" w:rsidRPr="007A459C" w:rsidTr="003A7F10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2F1E" w:rsidRPr="007A459C" w:rsidRDefault="00352F1E" w:rsidP="003A7F10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2F1E" w:rsidRPr="007A459C" w:rsidRDefault="00352F1E" w:rsidP="003A7F10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12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2F1E" w:rsidRPr="007A459C" w:rsidRDefault="00352F1E" w:rsidP="003A7F10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400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2F1E" w:rsidRPr="007A459C" w:rsidRDefault="00352F1E" w:rsidP="003A7F10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48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2F1E" w:rsidRPr="007A459C" w:rsidRDefault="00352F1E" w:rsidP="003A7F10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</w:t>
            </w:r>
            <w:r w:rsidRPr="007A459C">
              <w:rPr>
                <w:rStyle w:val="s6"/>
                <w:color w:val="000000"/>
              </w:rPr>
              <w:t>6</w:t>
            </w:r>
          </w:p>
        </w:tc>
      </w:tr>
      <w:tr w:rsidR="00352F1E" w:rsidRPr="007A459C" w:rsidTr="003A7F10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2F1E" w:rsidRPr="007A459C" w:rsidRDefault="00352F1E" w:rsidP="003A7F10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Итого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2F1E" w:rsidRPr="007A459C" w:rsidRDefault="00352F1E" w:rsidP="003A7F10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2F1E" w:rsidRPr="007A459C" w:rsidRDefault="00352F1E" w:rsidP="003A7F10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 xml:space="preserve">81 </w:t>
            </w:r>
            <w:r w:rsidRPr="007A459C">
              <w:rPr>
                <w:rStyle w:val="s6"/>
                <w:color w:val="000000"/>
              </w:rPr>
              <w:t>900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2F1E" w:rsidRPr="007A459C" w:rsidRDefault="00352F1E" w:rsidP="003A7F10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 xml:space="preserve">7 </w:t>
            </w:r>
            <w:r w:rsidRPr="007A459C">
              <w:rPr>
                <w:rStyle w:val="s6"/>
                <w:color w:val="000000"/>
              </w:rPr>
              <w:t>281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2F1E" w:rsidRPr="007A459C" w:rsidRDefault="00352F1E" w:rsidP="003A7F10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</w:rPr>
            </w:pPr>
            <w:r w:rsidRPr="007A459C">
              <w:rPr>
                <w:rStyle w:val="s6"/>
                <w:color w:val="000000"/>
              </w:rPr>
              <w:t>100</w:t>
            </w:r>
          </w:p>
        </w:tc>
      </w:tr>
    </w:tbl>
    <w:p w:rsidR="0003673F" w:rsidRPr="00B77F37" w:rsidRDefault="0003673F" w:rsidP="0003673F">
      <w:pPr>
        <w:spacing w:line="360" w:lineRule="auto"/>
        <w:contextualSpacing/>
        <w:rPr>
          <w:rStyle w:val="s6"/>
          <w:rFonts w:ascii="Times New Roman" w:hAnsi="Times New Roman" w:cs="Times New Roman"/>
          <w:color w:val="000000"/>
          <w:sz w:val="28"/>
          <w:szCs w:val="28"/>
        </w:rPr>
      </w:pPr>
    </w:p>
    <w:p w:rsidR="0003673F" w:rsidRPr="009A042C" w:rsidRDefault="0003673F" w:rsidP="0003673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F37">
        <w:rPr>
          <w:rStyle w:val="s6"/>
          <w:rFonts w:ascii="Times New Roman" w:hAnsi="Times New Roman" w:cs="Times New Roman"/>
          <w:color w:val="000000"/>
          <w:sz w:val="28"/>
          <w:szCs w:val="28"/>
        </w:rPr>
        <w:tab/>
      </w:r>
      <w:r w:rsidR="00352F1E"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>ООО «Контакт+» существует два вида запасов, которые в совокупности составляют 81% годового потребления. Можно произвести ранжирование запасов с учетом годового потребления и нарастающего итога. Данные ра</w:t>
      </w:r>
      <w:r w:rsidR="00352F1E">
        <w:rPr>
          <w:rStyle w:val="s6"/>
          <w:rFonts w:ascii="Times New Roman" w:hAnsi="Times New Roman" w:cs="Times New Roman"/>
          <w:color w:val="000000"/>
          <w:sz w:val="28"/>
          <w:szCs w:val="28"/>
        </w:rPr>
        <w:t>счетов представлены в таблице 12</w:t>
      </w: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73F" w:rsidRDefault="00352F1E" w:rsidP="00352F1E">
      <w:pPr>
        <w:pStyle w:val="p16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12</w:t>
      </w:r>
      <w:r w:rsidR="0003673F">
        <w:rPr>
          <w:color w:val="000000"/>
          <w:sz w:val="28"/>
          <w:szCs w:val="28"/>
        </w:rPr>
        <w:t xml:space="preserve"> – Ранжирование запасов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2"/>
        <w:gridCol w:w="732"/>
        <w:gridCol w:w="2095"/>
        <w:gridCol w:w="1843"/>
        <w:gridCol w:w="2126"/>
        <w:gridCol w:w="1820"/>
      </w:tblGrid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b/>
                <w:color w:val="000000"/>
              </w:rPr>
            </w:pPr>
            <w:r>
              <w:rPr>
                <w:rStyle w:val="s6"/>
                <w:b/>
                <w:color w:val="000000"/>
              </w:rPr>
              <w:t>№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Вид</w:t>
            </w:r>
          </w:p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запаса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Годовое потребление, шт.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Годовое потребление, тыс. руб.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Годовое потребление, %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Годовое потребление нарастающим итогом, %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  <w:r>
              <w:rPr>
                <w:rStyle w:val="s6"/>
                <w:color w:val="000000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7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17 000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3 400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46,7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46,7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  <w:r>
              <w:rPr>
                <w:rStyle w:val="s6"/>
                <w:color w:val="000000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50 000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2 500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34,3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81,0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  <w:r>
              <w:rPr>
                <w:rStyle w:val="s6"/>
                <w:color w:val="000000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9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5 000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6,2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87,2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  <w:r>
              <w:rPr>
                <w:rStyle w:val="s6"/>
                <w:color w:val="000000"/>
              </w:rPr>
              <w:t>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5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4 800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4,6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91,8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  <w:r>
              <w:rPr>
                <w:rStyle w:val="s6"/>
                <w:color w:val="000000"/>
              </w:rPr>
              <w:t>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3,0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94,8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  <w:r>
              <w:rPr>
                <w:rStyle w:val="s6"/>
                <w:color w:val="000000"/>
              </w:rPr>
              <w:t>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6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1 300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2,7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97,5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  <w:r>
              <w:rPr>
                <w:rStyle w:val="s6"/>
                <w:color w:val="000000"/>
              </w:rPr>
              <w:t>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98,4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  <w:r>
              <w:rPr>
                <w:rStyle w:val="s6"/>
                <w:color w:val="000000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99,2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  <w:r>
              <w:rPr>
                <w:rStyle w:val="s6"/>
                <w:color w:val="000000"/>
              </w:rPr>
              <w:t>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99,8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  <w:r>
              <w:rPr>
                <w:rStyle w:val="s6"/>
                <w:color w:val="000000"/>
              </w:rPr>
              <w:t>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8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0,2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100,0</w:t>
            </w:r>
          </w:p>
        </w:tc>
      </w:tr>
      <w:tr w:rsidR="0003673F" w:rsidTr="00FA2AB9">
        <w:trPr>
          <w:cantSplit/>
          <w:trHeight w:val="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rStyle w:val="s6"/>
                <w:color w:val="000000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Итого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81 900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7 281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 </w:t>
            </w:r>
          </w:p>
        </w:tc>
      </w:tr>
    </w:tbl>
    <w:p w:rsidR="0003673F" w:rsidRDefault="0003673F" w:rsidP="0003673F">
      <w:pPr>
        <w:spacing w:line="360" w:lineRule="auto"/>
        <w:contextualSpacing/>
        <w:jc w:val="both"/>
        <w:rPr>
          <w:rStyle w:val="s6"/>
          <w:rFonts w:ascii="Times New Roman" w:hAnsi="Times New Roman" w:cs="Times New Roman"/>
          <w:color w:val="000000"/>
          <w:sz w:val="28"/>
          <w:szCs w:val="28"/>
        </w:rPr>
      </w:pPr>
    </w:p>
    <w:p w:rsidR="0003673F" w:rsidRPr="00352F1E" w:rsidRDefault="00352F1E" w:rsidP="00352F1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 xml:space="preserve">Представленные в таблице 12 </w:t>
      </w:r>
      <w:r w:rsidR="0003673F">
        <w:rPr>
          <w:rStyle w:val="s6"/>
          <w:rFonts w:ascii="Times New Roman" w:hAnsi="Times New Roman" w:cs="Times New Roman"/>
          <w:color w:val="000000"/>
          <w:sz w:val="28"/>
          <w:szCs w:val="28"/>
        </w:rPr>
        <w:t>данные позволяют распределить запасы по группам. Полученные д</w:t>
      </w: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>анные представлены в таблице 13.</w:t>
      </w:r>
    </w:p>
    <w:p w:rsidR="0003673F" w:rsidRDefault="0003673F" w:rsidP="00352F1E">
      <w:pPr>
        <w:pStyle w:val="p16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</w:t>
      </w:r>
      <w:r w:rsidR="00352F1E">
        <w:rPr>
          <w:color w:val="000000"/>
          <w:sz w:val="28"/>
          <w:szCs w:val="28"/>
        </w:rPr>
        <w:t>ца 13</w:t>
      </w:r>
      <w:r>
        <w:rPr>
          <w:color w:val="000000"/>
          <w:sz w:val="28"/>
          <w:szCs w:val="28"/>
        </w:rPr>
        <w:t xml:space="preserve"> – Классификация по АВС-категориям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5"/>
        <w:gridCol w:w="2220"/>
        <w:gridCol w:w="2520"/>
        <w:gridCol w:w="3240"/>
      </w:tblGrid>
      <w:tr w:rsidR="0003673F" w:rsidTr="00FA2AB9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Категория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Виды запасов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Количественная доля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Стоимостная доля</w:t>
            </w:r>
          </w:p>
        </w:tc>
      </w:tr>
      <w:tr w:rsidR="0003673F" w:rsidTr="00FA2AB9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A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7, 1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81,0</w:t>
            </w:r>
          </w:p>
        </w:tc>
      </w:tr>
      <w:tr w:rsidR="0003673F" w:rsidTr="00FA2AB9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B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9, 5, 2, 6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17,5</w:t>
            </w:r>
          </w:p>
        </w:tc>
      </w:tr>
      <w:tr w:rsidR="0003673F" w:rsidTr="00FA2AB9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C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3, 4, 10, 8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2,5</w:t>
            </w:r>
          </w:p>
        </w:tc>
      </w:tr>
    </w:tbl>
    <w:p w:rsidR="00352F1E" w:rsidRDefault="0003673F" w:rsidP="0003673F">
      <w:pPr>
        <w:pStyle w:val="p13"/>
        <w:shd w:val="clear" w:color="auto" w:fill="FFFFFF"/>
        <w:spacing w:line="360" w:lineRule="auto"/>
        <w:contextualSpacing/>
        <w:jc w:val="both"/>
        <w:rPr>
          <w:rStyle w:val="s9"/>
          <w:bCs/>
          <w:iCs/>
          <w:color w:val="000000"/>
        </w:rPr>
      </w:pPr>
      <w:r>
        <w:rPr>
          <w:rStyle w:val="s9"/>
          <w:b/>
          <w:bCs/>
          <w:i/>
          <w:iCs/>
          <w:color w:val="000000"/>
        </w:rPr>
        <w:t> </w:t>
      </w:r>
      <w:r>
        <w:rPr>
          <w:rStyle w:val="s9"/>
          <w:bCs/>
          <w:iCs/>
          <w:color w:val="000000"/>
        </w:rPr>
        <w:tab/>
      </w:r>
    </w:p>
    <w:p w:rsidR="0003673F" w:rsidRPr="00C945CA" w:rsidRDefault="00352F1E" w:rsidP="00352F1E">
      <w:pPr>
        <w:pStyle w:val="p13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s9"/>
          <w:bCs/>
          <w:iCs/>
          <w:color w:val="000000"/>
          <w:sz w:val="28"/>
          <w:szCs w:val="28"/>
        </w:rPr>
        <w:t>Как видно из таблицы 13</w:t>
      </w:r>
      <w:r w:rsidR="0003673F">
        <w:rPr>
          <w:rStyle w:val="s9"/>
          <w:bCs/>
          <w:iCs/>
          <w:color w:val="000000"/>
          <w:sz w:val="28"/>
          <w:szCs w:val="28"/>
        </w:rPr>
        <w:t>, в категорию А входят два вида запасов с наибольшей стоимостной и наименьшей количественной долей. Именно эту группу ООО «Контакт+» должно наиболее тщательно контролировать. Помимо этого также необходимо произвести ранжирование по затратам на хранение, позволяющее выделить 9 групп, чтобы сделать контроль и управления запасами более эффективным. Данные ранжир</w:t>
      </w:r>
      <w:r>
        <w:rPr>
          <w:rStyle w:val="s9"/>
          <w:bCs/>
          <w:iCs/>
          <w:color w:val="000000"/>
          <w:sz w:val="28"/>
          <w:szCs w:val="28"/>
        </w:rPr>
        <w:t>ования представлены в таблице 14</w:t>
      </w:r>
      <w:r w:rsidR="0003673F">
        <w:rPr>
          <w:rStyle w:val="s9"/>
          <w:bCs/>
          <w:iCs/>
          <w:color w:val="000000"/>
          <w:sz w:val="28"/>
          <w:szCs w:val="28"/>
        </w:rPr>
        <w:t>.</w:t>
      </w:r>
    </w:p>
    <w:p w:rsidR="0003673F" w:rsidRDefault="00352F1E" w:rsidP="00352F1E">
      <w:pPr>
        <w:pStyle w:val="p16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14</w:t>
      </w:r>
      <w:r w:rsidR="0003673F">
        <w:rPr>
          <w:color w:val="000000"/>
          <w:sz w:val="28"/>
          <w:szCs w:val="28"/>
        </w:rPr>
        <w:t xml:space="preserve"> – Ранжирование по затратам на хранение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5"/>
        <w:gridCol w:w="1980"/>
        <w:gridCol w:w="1980"/>
        <w:gridCol w:w="1800"/>
        <w:gridCol w:w="2160"/>
      </w:tblGrid>
      <w:tr w:rsidR="0003673F" w:rsidTr="00FA2AB9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Затраты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20362C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0362C">
              <w:rPr>
                <w:rStyle w:val="s6"/>
                <w:b/>
                <w:color w:val="000000"/>
              </w:rPr>
              <w:t>Итого</w:t>
            </w:r>
          </w:p>
        </w:tc>
      </w:tr>
      <w:tr w:rsidR="0003673F" w:rsidTr="00FA2AB9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АА 4%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АВ 6%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АС 10%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20%</w:t>
            </w:r>
          </w:p>
        </w:tc>
      </w:tr>
      <w:tr w:rsidR="0003673F" w:rsidTr="00FA2AB9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ВА 6%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ВВ 9%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ВС 15%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30%</w:t>
            </w:r>
          </w:p>
        </w:tc>
      </w:tr>
      <w:tr w:rsidR="0003673F" w:rsidTr="00FA2AB9">
        <w:trPr>
          <w:trHeight w:val="14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СА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СВ 15%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СС 25%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50%</w:t>
            </w:r>
          </w:p>
        </w:tc>
      </w:tr>
      <w:tr w:rsidR="0003673F" w:rsidTr="00FA2AB9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30%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50%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100%</w:t>
            </w:r>
          </w:p>
        </w:tc>
      </w:tr>
    </w:tbl>
    <w:p w:rsidR="0003673F" w:rsidRDefault="0003673F" w:rsidP="0003673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40F">
        <w:rPr>
          <w:rFonts w:ascii="Times New Roman" w:hAnsi="Times New Roman" w:cs="Times New Roman"/>
          <w:color w:val="000000"/>
          <w:sz w:val="28"/>
          <w:szCs w:val="28"/>
        </w:rPr>
        <w:t>В итоге, получено 9 групп, по которым должен быть организован анализ затрат и их оптимизация. Имеющиеся данный позволяют произвести расчеты в рамках логистической цепочки «изготовление – хранение – продажи».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40F">
        <w:rPr>
          <w:rFonts w:ascii="Times New Roman" w:hAnsi="Times New Roman" w:cs="Times New Roman"/>
          <w:sz w:val="28"/>
          <w:szCs w:val="28"/>
        </w:rPr>
        <w:t>Анализ логистической цепочки требует расчета общего норматива запасов и оценки себестоимости и количества производимых услуг. Общий норматив производственных запасов:</w:t>
      </w:r>
    </w:p>
    <w:p w:rsidR="0003673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4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Текущий запас (ТЗ)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40F">
        <w:rPr>
          <w:rFonts w:ascii="Times New Roman" w:hAnsi="Times New Roman" w:cs="Times New Roman"/>
          <w:color w:val="000000"/>
          <w:sz w:val="28"/>
          <w:szCs w:val="28"/>
        </w:rPr>
        <w:t xml:space="preserve">: ТЗ = Р*И </w:t>
      </w:r>
      <w:r w:rsidRPr="00A144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440F">
        <w:rPr>
          <w:rFonts w:ascii="Times New Roman" w:hAnsi="Times New Roman" w:cs="Times New Roman"/>
          <w:color w:val="000000"/>
          <w:sz w:val="28"/>
          <w:szCs w:val="28"/>
        </w:rPr>
        <w:tab/>
        <w:t>(11)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1"/>
      </w:r>
      <w:r w:rsidRPr="00A1440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673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где, Р – среднесуточный расход материалов;</w:t>
      </w:r>
    </w:p>
    <w:p w:rsidR="0003673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– интервал поставок в днях.</w:t>
      </w:r>
    </w:p>
    <w:p w:rsidR="0003673F" w:rsidRDefault="00352F1E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таблице 15</w:t>
      </w:r>
      <w:r w:rsidR="0003673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показатели для расчета норматива запасов.</w:t>
      </w:r>
    </w:p>
    <w:p w:rsidR="0003673F" w:rsidRDefault="0003673F" w:rsidP="0003673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73F" w:rsidRPr="00A1440F" w:rsidRDefault="00352F1E" w:rsidP="00352F1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15</w:t>
      </w:r>
      <w:r w:rsidR="0003673F" w:rsidRPr="00A1440F">
        <w:rPr>
          <w:rFonts w:ascii="Times New Roman" w:hAnsi="Times New Roman" w:cs="Times New Roman"/>
          <w:color w:val="000000"/>
          <w:sz w:val="28"/>
          <w:szCs w:val="28"/>
        </w:rPr>
        <w:t xml:space="preserve"> – Показатели для расчета нормативов запасов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9"/>
        <w:gridCol w:w="1264"/>
        <w:gridCol w:w="1456"/>
        <w:gridCol w:w="1721"/>
        <w:gridCol w:w="2163"/>
        <w:gridCol w:w="1352"/>
      </w:tblGrid>
      <w:tr w:rsidR="0003673F" w:rsidTr="00FA2AB9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4B44F5" w:rsidRDefault="0003673F" w:rsidP="00FA2AB9">
            <w:pPr>
              <w:pStyle w:val="p20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4B44F5">
              <w:rPr>
                <w:rStyle w:val="s6"/>
                <w:b/>
                <w:color w:val="000000"/>
              </w:rPr>
              <w:t>Поставщик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4B44F5" w:rsidRDefault="0003673F" w:rsidP="00FA2AB9">
            <w:pPr>
              <w:pStyle w:val="p20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4B44F5">
              <w:rPr>
                <w:rStyle w:val="s6"/>
                <w:b/>
                <w:color w:val="000000"/>
              </w:rPr>
              <w:t xml:space="preserve">Интервал поставки </w:t>
            </w:r>
            <w:r>
              <w:rPr>
                <w:rStyle w:val="s6"/>
                <w:b/>
                <w:color w:val="000000"/>
              </w:rPr>
              <w:t>(д</w:t>
            </w:r>
            <w:r w:rsidRPr="004B44F5">
              <w:rPr>
                <w:rStyle w:val="s6"/>
                <w:b/>
                <w:color w:val="000000"/>
              </w:rPr>
              <w:t>ни</w:t>
            </w:r>
            <w:r>
              <w:rPr>
                <w:rStyle w:val="s6"/>
                <w:b/>
                <w:color w:val="000000"/>
              </w:rPr>
              <w:t>)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4B44F5" w:rsidRDefault="0003673F" w:rsidP="00FA2AB9">
            <w:pPr>
              <w:pStyle w:val="p20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4B44F5">
              <w:rPr>
                <w:rStyle w:val="s6"/>
                <w:b/>
                <w:color w:val="000000"/>
              </w:rPr>
              <w:t>Годовой объем поставки (тыс.руб.)</w:t>
            </w: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4B44F5" w:rsidRDefault="0003673F" w:rsidP="00FA2AB9">
            <w:pPr>
              <w:pStyle w:val="p20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4B44F5">
              <w:rPr>
                <w:rStyle w:val="s6"/>
                <w:b/>
                <w:color w:val="000000"/>
              </w:rPr>
              <w:t>Расход в IV квартале, тыс.руб. (30% от общего расхода)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4B44F5" w:rsidRDefault="0003673F" w:rsidP="00FA2AB9">
            <w:pPr>
              <w:pStyle w:val="p20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4B44F5">
              <w:rPr>
                <w:rStyle w:val="s6"/>
                <w:b/>
                <w:color w:val="000000"/>
              </w:rPr>
              <w:t>Среднесуточный расход материалов, т</w:t>
            </w:r>
            <w:r>
              <w:rPr>
                <w:rStyle w:val="s6"/>
                <w:b/>
                <w:color w:val="000000"/>
              </w:rPr>
              <w:t>ыс</w:t>
            </w:r>
            <w:r w:rsidRPr="004B44F5">
              <w:rPr>
                <w:rStyle w:val="s6"/>
                <w:b/>
                <w:color w:val="000000"/>
              </w:rPr>
              <w:t>.р</w:t>
            </w:r>
            <w:r>
              <w:rPr>
                <w:rStyle w:val="s6"/>
                <w:b/>
                <w:color w:val="000000"/>
              </w:rPr>
              <w:t>уб</w:t>
            </w:r>
            <w:r w:rsidRPr="004B44F5">
              <w:rPr>
                <w:rStyle w:val="s6"/>
                <w:b/>
                <w:color w:val="000000"/>
              </w:rPr>
              <w:t>.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4B44F5" w:rsidRDefault="0003673F" w:rsidP="00FA2AB9">
            <w:pPr>
              <w:pStyle w:val="p20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4B44F5">
              <w:rPr>
                <w:rStyle w:val="s6"/>
                <w:b/>
                <w:color w:val="000000"/>
              </w:rPr>
              <w:t>Текущий запас, тыс.руб.</w:t>
            </w:r>
          </w:p>
        </w:tc>
      </w:tr>
      <w:tr w:rsidR="0003673F" w:rsidTr="00FA2AB9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14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7 500</w:t>
            </w: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2 250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350</w:t>
            </w:r>
          </w:p>
        </w:tc>
      </w:tr>
      <w:tr w:rsidR="0003673F" w:rsidTr="00FA2AB9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11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9 200</w:t>
            </w: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2 760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30,7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337,7</w:t>
            </w:r>
          </w:p>
        </w:tc>
      </w:tr>
      <w:tr w:rsidR="0003673F" w:rsidTr="00FA2AB9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6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9 700</w:t>
            </w: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2 910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32,3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193,8</w:t>
            </w:r>
          </w:p>
        </w:tc>
      </w:tr>
      <w:tr w:rsidR="0003673F" w:rsidTr="00FA2AB9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4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12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8 600</w:t>
            </w:r>
          </w:p>
        </w:tc>
        <w:tc>
          <w:tcPr>
            <w:tcW w:w="1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2 580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28,6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Default="0003673F" w:rsidP="00FA2AB9">
            <w:pPr>
              <w:pStyle w:val="p21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rStyle w:val="s6"/>
                <w:color w:val="000000"/>
              </w:rPr>
              <w:t>343,2</w:t>
            </w:r>
          </w:p>
        </w:tc>
      </w:tr>
    </w:tbl>
    <w:p w:rsidR="0003673F" w:rsidRDefault="0003673F" w:rsidP="0003673F">
      <w:pPr>
        <w:spacing w:line="360" w:lineRule="auto"/>
        <w:contextualSpacing/>
        <w:jc w:val="both"/>
        <w:rPr>
          <w:sz w:val="28"/>
          <w:szCs w:val="28"/>
        </w:rPr>
      </w:pP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Общий текущий запас равен сумме текущих запасов по каждому поставщику:</w:t>
      </w: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 + 337,7 + 193,8 +343,2 = 1224,</w:t>
      </w:r>
      <w:r w:rsidRPr="00A144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Страховой запас (СЗ) рассчитывается как 50% текущего запаса (укрупненный расчет):</w:t>
      </w:r>
    </w:p>
    <w:p w:rsidR="0003673F" w:rsidRPr="00A1440F" w:rsidRDefault="0003673F" w:rsidP="0003673F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СЗ</w:t>
      </w:r>
      <w:r w:rsidRPr="00A144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1440F">
        <w:rPr>
          <w:rFonts w:ascii="Times New Roman" w:hAnsi="Times New Roman" w:cs="Times New Roman"/>
          <w:sz w:val="28"/>
          <w:szCs w:val="28"/>
        </w:rPr>
        <w:t> = 175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73F" w:rsidRPr="00A1440F" w:rsidRDefault="0003673F" w:rsidP="0003673F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СЗ</w:t>
      </w:r>
      <w:r w:rsidRPr="00A144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 = 168,</w:t>
      </w:r>
      <w:r w:rsidRPr="00A144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73F" w:rsidRPr="00A1440F" w:rsidRDefault="0003673F" w:rsidP="0003673F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СЗ</w:t>
      </w:r>
      <w:r w:rsidRPr="00A1440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 = 96,</w:t>
      </w:r>
      <w:r w:rsidRPr="00A144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73F" w:rsidRPr="00A1440F" w:rsidRDefault="0003673F" w:rsidP="0003673F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СЗ</w:t>
      </w:r>
      <w:r w:rsidRPr="00A1440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1440F">
        <w:rPr>
          <w:rFonts w:ascii="Times New Roman" w:hAnsi="Times New Roman" w:cs="Times New Roman"/>
          <w:sz w:val="28"/>
          <w:szCs w:val="28"/>
        </w:rPr>
        <w:t> =</w:t>
      </w:r>
      <w:r>
        <w:rPr>
          <w:rFonts w:ascii="Times New Roman" w:hAnsi="Times New Roman" w:cs="Times New Roman"/>
          <w:sz w:val="28"/>
          <w:szCs w:val="28"/>
        </w:rPr>
        <w:t xml:space="preserve"> 171,</w:t>
      </w:r>
      <w:r w:rsidRPr="00A144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Общий страховой запас равен сумме страховых запасов по каждому поставщику:</w:t>
      </w: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 + 168,9 + 96,9 + 171,6 = 612,</w:t>
      </w:r>
      <w:r w:rsidRPr="00A144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3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Транспортный запас: ТрЗ = Р*(И</w:t>
      </w:r>
      <w:r w:rsidRPr="00A1440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A1440F">
        <w:rPr>
          <w:rFonts w:ascii="Times New Roman" w:hAnsi="Times New Roman" w:cs="Times New Roman"/>
          <w:sz w:val="28"/>
          <w:szCs w:val="28"/>
        </w:rPr>
        <w:t>. – И</w:t>
      </w:r>
      <w:r w:rsidRPr="00A1440F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A1440F">
        <w:rPr>
          <w:rFonts w:ascii="Times New Roman" w:hAnsi="Times New Roman" w:cs="Times New Roman"/>
          <w:sz w:val="28"/>
          <w:szCs w:val="28"/>
        </w:rPr>
        <w:t xml:space="preserve">)*0,5 </w:t>
      </w:r>
      <w:r>
        <w:rPr>
          <w:rFonts w:ascii="Times New Roman" w:hAnsi="Times New Roman" w:cs="Times New Roman"/>
          <w:sz w:val="28"/>
          <w:szCs w:val="28"/>
        </w:rPr>
        <w:t xml:space="preserve">       (12)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2"/>
      </w:r>
    </w:p>
    <w:p w:rsidR="0003673F" w:rsidRDefault="0003673F" w:rsidP="000367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  <w:t>Р – среднесуточный расход материалов;</w:t>
      </w:r>
    </w:p>
    <w:p w:rsidR="0003673F" w:rsidRDefault="0003673F" w:rsidP="00036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фактический интервал поставок в днях;</w:t>
      </w:r>
    </w:p>
    <w:p w:rsidR="0003673F" w:rsidRDefault="0003673F" w:rsidP="00036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– запланированный интервал поставок в днях;</w:t>
      </w: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И</w:t>
      </w:r>
      <w:r w:rsidRPr="00A1440F">
        <w:rPr>
          <w:rStyle w:val="s7"/>
          <w:rFonts w:ascii="Times New Roman" w:hAnsi="Times New Roman" w:cs="Times New Roman"/>
          <w:color w:val="000000"/>
          <w:sz w:val="28"/>
          <w:szCs w:val="28"/>
          <w:vertAlign w:val="subscript"/>
        </w:rPr>
        <w:t>факт</w:t>
      </w:r>
      <w:r w:rsidRPr="00A144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440F">
        <w:rPr>
          <w:rFonts w:ascii="Times New Roman" w:hAnsi="Times New Roman" w:cs="Times New Roman"/>
          <w:sz w:val="28"/>
          <w:szCs w:val="28"/>
        </w:rPr>
        <w:t>– И</w:t>
      </w:r>
      <w:r w:rsidRPr="00A1440F">
        <w:rPr>
          <w:rStyle w:val="s7"/>
          <w:rFonts w:ascii="Times New Roman" w:hAnsi="Times New Roman" w:cs="Times New Roman"/>
          <w:color w:val="000000"/>
          <w:sz w:val="28"/>
          <w:szCs w:val="28"/>
          <w:vertAlign w:val="subscript"/>
        </w:rPr>
        <w:t>план</w:t>
      </w:r>
      <w:r w:rsidRPr="00A144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440F">
        <w:rPr>
          <w:rFonts w:ascii="Times New Roman" w:hAnsi="Times New Roman" w:cs="Times New Roman"/>
          <w:sz w:val="28"/>
          <w:szCs w:val="28"/>
        </w:rPr>
        <w:t>= 12 – 9 =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ТрЗ</w:t>
      </w:r>
      <w:r w:rsidRPr="00A1440F">
        <w:rPr>
          <w:rStyle w:val="s7"/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144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= 37,</w:t>
      </w:r>
      <w:r w:rsidRPr="00A144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ТрЗ</w:t>
      </w:r>
      <w:r w:rsidRPr="00A1440F">
        <w:rPr>
          <w:rStyle w:val="s7"/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144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= 46,</w:t>
      </w:r>
      <w:r w:rsidRPr="00A1440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ТрЗ</w:t>
      </w:r>
      <w:r w:rsidRPr="00A1440F">
        <w:rPr>
          <w:rStyle w:val="s7"/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144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= 48,</w:t>
      </w:r>
      <w:r w:rsidRPr="00A1440F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ТрЗ</w:t>
      </w:r>
      <w:r w:rsidRPr="00A1440F">
        <w:rPr>
          <w:rStyle w:val="s7"/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1440F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A1440F">
        <w:rPr>
          <w:rFonts w:ascii="Times New Roman" w:hAnsi="Times New Roman" w:cs="Times New Roman"/>
          <w:sz w:val="28"/>
          <w:szCs w:val="28"/>
        </w:rPr>
        <w:t>= 42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4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3F" w:rsidRPr="00A1440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Общий трансп</w:t>
      </w:r>
      <w:r>
        <w:rPr>
          <w:rFonts w:ascii="Times New Roman" w:hAnsi="Times New Roman" w:cs="Times New Roman"/>
          <w:sz w:val="28"/>
          <w:szCs w:val="28"/>
        </w:rPr>
        <w:t>ортный запас: 37,5 + 46,05 + 48,45 + 42,9 = 174,</w:t>
      </w:r>
      <w:r w:rsidRPr="00A144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3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Технологический (подготовительный) запас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73F" w:rsidRDefault="0003673F" w:rsidP="0003673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440F">
        <w:rPr>
          <w:rFonts w:ascii="Times New Roman" w:hAnsi="Times New Roman" w:cs="Times New Roman"/>
          <w:sz w:val="28"/>
          <w:szCs w:val="28"/>
        </w:rPr>
        <w:t>(ТехЗ): ТехЗ = (ТЗ + СЗ + ТрЗ)*К</w:t>
      </w:r>
      <w:r>
        <w:rPr>
          <w:rFonts w:ascii="Times New Roman" w:hAnsi="Times New Roman" w:cs="Times New Roman"/>
          <w:sz w:val="28"/>
          <w:szCs w:val="28"/>
        </w:rPr>
        <w:t xml:space="preserve">           (13)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3"/>
      </w:r>
    </w:p>
    <w:p w:rsidR="0003673F" w:rsidRDefault="0003673F" w:rsidP="0003673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  <w:t>ТЗ – текущий запас;</w:t>
      </w:r>
    </w:p>
    <w:p w:rsidR="0003673F" w:rsidRDefault="0003673F" w:rsidP="0003673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СЗ – страховой запас;</w:t>
      </w:r>
    </w:p>
    <w:p w:rsidR="0003673F" w:rsidRPr="00A1440F" w:rsidRDefault="0003673F" w:rsidP="0003673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ТехЗ – технологический запас.</w:t>
      </w:r>
    </w:p>
    <w:p w:rsidR="0003673F" w:rsidRDefault="0003673F" w:rsidP="0003673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1224,7 + 612,4 + 174,9)*1,</w:t>
      </w:r>
      <w:r w:rsidRPr="00A144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= 30,</w:t>
      </w:r>
      <w:r w:rsidRPr="00A1440F">
        <w:rPr>
          <w:rFonts w:ascii="Times New Roman" w:hAnsi="Times New Roman" w:cs="Times New Roman"/>
          <w:sz w:val="28"/>
          <w:szCs w:val="28"/>
        </w:rPr>
        <w:t>18</w:t>
      </w:r>
    </w:p>
    <w:p w:rsidR="0003673F" w:rsidRDefault="00352F1E" w:rsidP="00036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таблице 16</w:t>
      </w:r>
      <w:r w:rsidR="0003673F">
        <w:rPr>
          <w:rFonts w:ascii="Times New Roman" w:hAnsi="Times New Roman" w:cs="Times New Roman"/>
          <w:sz w:val="28"/>
          <w:szCs w:val="28"/>
        </w:rPr>
        <w:t xml:space="preserve"> представлены основные расчетные данные для анализа нормативов. Эти данные позволяют произвести расчет оборотных средств на расходы будущих периодов, на вспомогательные материалы и комплектующие.</w:t>
      </w:r>
    </w:p>
    <w:p w:rsidR="0003673F" w:rsidRDefault="00352F1E" w:rsidP="00352F1E">
      <w:pPr>
        <w:pStyle w:val="p16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 16</w:t>
      </w:r>
      <w:r w:rsidR="0003673F">
        <w:rPr>
          <w:color w:val="000000"/>
          <w:sz w:val="28"/>
          <w:szCs w:val="28"/>
        </w:rPr>
        <w:t xml:space="preserve"> – Данные для расчета нормативов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9"/>
        <w:gridCol w:w="1588"/>
        <w:gridCol w:w="1502"/>
        <w:gridCol w:w="1502"/>
        <w:gridCol w:w="1501"/>
        <w:gridCol w:w="1353"/>
        <w:gridCol w:w="1140"/>
      </w:tblGrid>
      <w:tr w:rsidR="0003673F" w:rsidRPr="00E35ABD" w:rsidTr="00FA2AB9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2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E35ABD">
              <w:rPr>
                <w:rStyle w:val="s6"/>
                <w:b/>
                <w:color w:val="000000"/>
              </w:rPr>
              <w:t>Вид услуг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2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E35ABD">
              <w:rPr>
                <w:rStyle w:val="s6"/>
                <w:b/>
                <w:color w:val="000000"/>
              </w:rPr>
              <w:t>Плановая себестоимость в I</w:t>
            </w:r>
            <w:r w:rsidRPr="00E35ABD">
              <w:rPr>
                <w:rStyle w:val="s6"/>
                <w:b/>
                <w:color w:val="000000"/>
                <w:lang w:val="en-GB"/>
              </w:rPr>
              <w:t>II</w:t>
            </w:r>
            <w:r w:rsidRPr="00E35ABD">
              <w:rPr>
                <w:rStyle w:val="s6"/>
                <w:b/>
                <w:color w:val="000000"/>
              </w:rPr>
              <w:t xml:space="preserve"> кв.планового года, руб.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2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E35ABD">
              <w:rPr>
                <w:rStyle w:val="s6"/>
                <w:b/>
                <w:color w:val="000000"/>
              </w:rPr>
              <w:t>Годовой объем производства услуг, шт.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2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E35ABD">
              <w:rPr>
                <w:rStyle w:val="s6"/>
                <w:b/>
                <w:color w:val="000000"/>
              </w:rPr>
              <w:t>Объем производства в I</w:t>
            </w:r>
            <w:r w:rsidRPr="00E35ABD">
              <w:rPr>
                <w:rStyle w:val="s6"/>
                <w:b/>
                <w:color w:val="000000"/>
                <w:lang w:val="en-GB"/>
              </w:rPr>
              <w:t>II</w:t>
            </w:r>
            <w:r w:rsidRPr="00E35ABD">
              <w:rPr>
                <w:rStyle w:val="s6"/>
                <w:b/>
                <w:color w:val="000000"/>
              </w:rPr>
              <w:t xml:space="preserve"> кв.планового года, шт.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2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E35ABD">
              <w:rPr>
                <w:rStyle w:val="s6"/>
                <w:b/>
                <w:color w:val="000000"/>
              </w:rPr>
              <w:t>Недельный выпускуслуг, шт.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2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E35ABD">
              <w:rPr>
                <w:rStyle w:val="s6"/>
                <w:b/>
                <w:color w:val="000000"/>
              </w:rPr>
              <w:t>Плановая себ-ть недельного выпуска услуг, руб.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2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E35ABD">
              <w:rPr>
                <w:rStyle w:val="s6"/>
                <w:b/>
                <w:color w:val="000000"/>
              </w:rPr>
              <w:t>Норматив ГП</w:t>
            </w:r>
          </w:p>
        </w:tc>
      </w:tr>
      <w:tr w:rsidR="0003673F" w:rsidRPr="00E35ABD" w:rsidTr="00FA2AB9">
        <w:tc>
          <w:tcPr>
            <w:tcW w:w="8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3 700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6 000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1 800</w:t>
            </w:r>
          </w:p>
        </w:tc>
        <w:tc>
          <w:tcPr>
            <w:tcW w:w="13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20</w:t>
            </w:r>
          </w:p>
        </w:tc>
        <w:tc>
          <w:tcPr>
            <w:tcW w:w="13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74 000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296 000</w:t>
            </w:r>
          </w:p>
        </w:tc>
      </w:tr>
      <w:tr w:rsidR="0003673F" w:rsidRPr="00E35ABD" w:rsidTr="00FA2AB9">
        <w:tc>
          <w:tcPr>
            <w:tcW w:w="873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</w:t>
            </w:r>
          </w:p>
        </w:tc>
        <w:tc>
          <w:tcPr>
            <w:tcW w:w="15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1 500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4 500</w:t>
            </w:r>
          </w:p>
        </w:tc>
        <w:tc>
          <w:tcPr>
            <w:tcW w:w="1502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1 350</w:t>
            </w:r>
          </w:p>
        </w:tc>
        <w:tc>
          <w:tcPr>
            <w:tcW w:w="138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15</w:t>
            </w:r>
          </w:p>
        </w:tc>
        <w:tc>
          <w:tcPr>
            <w:tcW w:w="1396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22 500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90 000</w:t>
            </w:r>
          </w:p>
        </w:tc>
      </w:tr>
      <w:tr w:rsidR="0003673F" w:rsidRPr="00E35ABD" w:rsidTr="00FA2AB9"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580</w:t>
            </w:r>
          </w:p>
        </w:tc>
        <w:tc>
          <w:tcPr>
            <w:tcW w:w="1502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12 000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3 600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40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23 200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92 800</w:t>
            </w:r>
          </w:p>
        </w:tc>
      </w:tr>
      <w:tr w:rsidR="0003673F" w:rsidRPr="00E35ABD" w:rsidTr="00FA2AB9"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710</w:t>
            </w:r>
          </w:p>
        </w:tc>
        <w:tc>
          <w:tcPr>
            <w:tcW w:w="1502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9 200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2 760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30.7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21 773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87 092</w:t>
            </w:r>
          </w:p>
        </w:tc>
      </w:tr>
      <w:tr w:rsidR="0003673F" w:rsidRPr="00E35ABD" w:rsidTr="00FA2AB9"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180</w:t>
            </w:r>
          </w:p>
        </w:tc>
        <w:tc>
          <w:tcPr>
            <w:tcW w:w="1502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3 800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1 140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12.7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2 280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9 120</w:t>
            </w:r>
          </w:p>
        </w:tc>
      </w:tr>
      <w:tr w:rsidR="0003673F" w:rsidRPr="00E35ABD" w:rsidTr="00FA2AB9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260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3 400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1 020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11.3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2 947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11 788</w:t>
            </w:r>
          </w:p>
        </w:tc>
      </w:tr>
      <w:tr w:rsidR="0003673F" w:rsidRPr="00E35ABD" w:rsidTr="00FA2AB9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110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5 000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1 500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16.7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1 833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7 332</w:t>
            </w:r>
          </w:p>
        </w:tc>
      </w:tr>
      <w:tr w:rsidR="0003673F" w:rsidRPr="00E35ABD" w:rsidTr="00FA2AB9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86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10 000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3 000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33,3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2 863,8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E35ABD" w:rsidRDefault="0003673F" w:rsidP="00FA2AB9">
            <w:pPr>
              <w:pStyle w:val="p2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35ABD">
              <w:rPr>
                <w:rStyle w:val="s6"/>
                <w:color w:val="000000"/>
              </w:rPr>
              <w:t>11 455,2</w:t>
            </w:r>
          </w:p>
        </w:tc>
      </w:tr>
    </w:tbl>
    <w:p w:rsidR="0003673F" w:rsidRPr="00E35ABD" w:rsidRDefault="0003673F" w:rsidP="00036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73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ABD">
        <w:rPr>
          <w:rFonts w:ascii="Times New Roman" w:hAnsi="Times New Roman" w:cs="Times New Roman"/>
          <w:sz w:val="28"/>
          <w:szCs w:val="28"/>
        </w:rPr>
        <w:t>Норматив оборотных средств на расходы будущих периодов (Нбп):</w:t>
      </w:r>
    </w:p>
    <w:p w:rsidR="0003673F" w:rsidRDefault="0003673F" w:rsidP="0003673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Нбп = Он. + Зб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– Зс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(14)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4"/>
      </w:r>
    </w:p>
    <w:p w:rsidR="0003673F" w:rsidRDefault="0003673F" w:rsidP="000367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Он – остаток расходов на начало планируемого года;</w:t>
      </w:r>
    </w:p>
    <w:p w:rsidR="0003673F" w:rsidRDefault="0003673F" w:rsidP="00036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– расходы будущих периодов;</w:t>
      </w:r>
    </w:p>
    <w:p w:rsidR="0003673F" w:rsidRPr="00E35ABD" w:rsidRDefault="0003673F" w:rsidP="000367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Зс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– часть расходов, которые в планируемом году списываются на себестоимость.</w:t>
      </w:r>
    </w:p>
    <w:p w:rsidR="0003673F" w:rsidRPr="00E35ABD" w:rsidRDefault="0003673F" w:rsidP="0003673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5ABD">
        <w:rPr>
          <w:rFonts w:ascii="Times New Roman" w:hAnsi="Times New Roman" w:cs="Times New Roman"/>
          <w:sz w:val="28"/>
          <w:szCs w:val="28"/>
        </w:rPr>
        <w:t>Нбп = 80 + 616 – 400 = 296</w:t>
      </w:r>
    </w:p>
    <w:p w:rsidR="0003673F" w:rsidRPr="00E35ABD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ABD">
        <w:rPr>
          <w:rFonts w:ascii="Times New Roman" w:hAnsi="Times New Roman" w:cs="Times New Roman"/>
          <w:sz w:val="28"/>
          <w:szCs w:val="28"/>
        </w:rPr>
        <w:t>Норматив оборотных средств на вспомогательные материалы и комплектующие.</w:t>
      </w:r>
    </w:p>
    <w:p w:rsidR="0003673F" w:rsidRPr="00E35ABD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ABD">
        <w:rPr>
          <w:rFonts w:ascii="Times New Roman" w:hAnsi="Times New Roman" w:cs="Times New Roman"/>
          <w:sz w:val="28"/>
          <w:szCs w:val="28"/>
        </w:rPr>
        <w:t>Среднегодовой остаток материалов в отчетном году –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BD">
        <w:rPr>
          <w:rFonts w:ascii="Times New Roman" w:hAnsi="Times New Roman" w:cs="Times New Roman"/>
          <w:sz w:val="28"/>
          <w:szCs w:val="28"/>
        </w:rPr>
        <w:t>Среднегодовой расход вспомогательных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в отчетном году – 0,</w:t>
      </w:r>
      <w:r w:rsidRPr="00E35ABD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BD">
        <w:rPr>
          <w:rFonts w:ascii="Times New Roman" w:hAnsi="Times New Roman" w:cs="Times New Roman"/>
          <w:sz w:val="28"/>
          <w:szCs w:val="28"/>
        </w:rPr>
        <w:t>В пл</w:t>
      </w:r>
      <w:r>
        <w:rPr>
          <w:rFonts w:ascii="Times New Roman" w:hAnsi="Times New Roman" w:cs="Times New Roman"/>
          <w:sz w:val="28"/>
          <w:szCs w:val="28"/>
        </w:rPr>
        <w:t>ановом году – 0,</w:t>
      </w:r>
      <w:r w:rsidRPr="00E35ABD">
        <w:rPr>
          <w:rFonts w:ascii="Times New Roman" w:hAnsi="Times New Roman" w:cs="Times New Roman"/>
          <w:sz w:val="28"/>
          <w:szCs w:val="28"/>
        </w:rPr>
        <w:t>33.</w:t>
      </w:r>
    </w:p>
    <w:p w:rsidR="0003673F" w:rsidRPr="00E35ABD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ABD">
        <w:rPr>
          <w:rFonts w:ascii="Times New Roman" w:hAnsi="Times New Roman" w:cs="Times New Roman"/>
          <w:sz w:val="28"/>
          <w:szCs w:val="28"/>
        </w:rPr>
        <w:t>Норматив оборотных средств на вспомогательные материалы и комплектующие можно рассчитать по упрощенной формуле:</w:t>
      </w:r>
    </w:p>
    <w:p w:rsidR="0003673F" w:rsidRPr="00A73719" w:rsidRDefault="0003673F" w:rsidP="0003673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5ABD">
        <w:rPr>
          <w:rFonts w:ascii="Times New Roman" w:hAnsi="Times New Roman" w:cs="Times New Roman"/>
          <w:sz w:val="28"/>
          <w:szCs w:val="28"/>
        </w:rPr>
        <w:t>Н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всп</w:t>
      </w:r>
      <w:r>
        <w:rPr>
          <w:rFonts w:ascii="Times New Roman" w:hAnsi="Times New Roman" w:cs="Times New Roman"/>
          <w:sz w:val="28"/>
          <w:szCs w:val="28"/>
        </w:rPr>
        <w:t xml:space="preserve"> = (О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от.п</w:t>
      </w:r>
      <w:r w:rsidRPr="00E35A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E35ABD">
        <w:rPr>
          <w:rFonts w:ascii="Times New Roman" w:hAnsi="Times New Roman" w:cs="Times New Roman"/>
          <w:sz w:val="28"/>
          <w:szCs w:val="28"/>
        </w:rPr>
        <w:t>) * Х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</w:rPr>
        <w:t>(15)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5"/>
      </w:r>
    </w:p>
    <w:p w:rsidR="0003673F" w:rsidRPr="00E35ABD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от.п.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5ABD">
        <w:rPr>
          <w:rFonts w:ascii="Times New Roman" w:hAnsi="Times New Roman" w:cs="Times New Roman"/>
          <w:sz w:val="28"/>
          <w:szCs w:val="28"/>
        </w:rPr>
        <w:t xml:space="preserve"> средний остаток оборотных средств за отчетный период;</w:t>
      </w:r>
    </w:p>
    <w:p w:rsidR="0003673F" w:rsidRPr="00E35ABD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E35ABD">
        <w:rPr>
          <w:rFonts w:ascii="Times New Roman" w:hAnsi="Times New Roman" w:cs="Times New Roman"/>
          <w:sz w:val="28"/>
          <w:szCs w:val="28"/>
        </w:rPr>
        <w:t>, Х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35ABD">
        <w:rPr>
          <w:rFonts w:ascii="Times New Roman" w:hAnsi="Times New Roman" w:cs="Times New Roman"/>
          <w:sz w:val="28"/>
          <w:szCs w:val="28"/>
        </w:rPr>
        <w:t xml:space="preserve"> значения базового показателя в плановом и отчетном периоде.</w:t>
      </w:r>
    </w:p>
    <w:p w:rsidR="0003673F" w:rsidRPr="00E35ABD" w:rsidRDefault="0003673F" w:rsidP="0003673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5ABD">
        <w:rPr>
          <w:rFonts w:ascii="Times New Roman" w:hAnsi="Times New Roman" w:cs="Times New Roman"/>
          <w:sz w:val="28"/>
          <w:szCs w:val="28"/>
        </w:rPr>
        <w:t>Н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всп</w:t>
      </w:r>
      <w:r>
        <w:rPr>
          <w:rFonts w:ascii="Times New Roman" w:hAnsi="Times New Roman" w:cs="Times New Roman"/>
          <w:sz w:val="28"/>
          <w:szCs w:val="28"/>
        </w:rPr>
        <w:t xml:space="preserve"> = (16 / 0,36)*0,33 = 14,</w:t>
      </w:r>
      <w:r w:rsidRPr="00E35ABD">
        <w:rPr>
          <w:rFonts w:ascii="Times New Roman" w:hAnsi="Times New Roman" w:cs="Times New Roman"/>
          <w:sz w:val="28"/>
          <w:szCs w:val="28"/>
        </w:rPr>
        <w:t>7</w:t>
      </w:r>
    </w:p>
    <w:p w:rsidR="0003673F" w:rsidRPr="00E35ABD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ABD">
        <w:rPr>
          <w:rFonts w:ascii="Times New Roman" w:hAnsi="Times New Roman" w:cs="Times New Roman"/>
          <w:sz w:val="28"/>
          <w:szCs w:val="28"/>
        </w:rPr>
        <w:t>Норма запаса в незавершенном производстве:</w:t>
      </w:r>
    </w:p>
    <w:p w:rsidR="0003673F" w:rsidRPr="00E35ABD" w:rsidRDefault="0003673F" w:rsidP="0003673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нзп</w:t>
      </w:r>
      <w:r>
        <w:rPr>
          <w:rFonts w:ascii="Times New Roman" w:hAnsi="Times New Roman" w:cs="Times New Roman"/>
          <w:sz w:val="28"/>
          <w:szCs w:val="28"/>
        </w:rPr>
        <w:t xml:space="preserve"> = Т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>
        <w:rPr>
          <w:rFonts w:ascii="Times New Roman" w:hAnsi="Times New Roman" w:cs="Times New Roman"/>
          <w:sz w:val="28"/>
          <w:szCs w:val="28"/>
        </w:rPr>
        <w:t>*N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E35ABD">
        <w:rPr>
          <w:rFonts w:ascii="Times New Roman" w:hAnsi="Times New Roman" w:cs="Times New Roman"/>
          <w:sz w:val="28"/>
          <w:szCs w:val="28"/>
        </w:rPr>
        <w:t>*С*Кз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          (16)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7"/>
      </w:r>
    </w:p>
    <w:p w:rsidR="0003673F" w:rsidRPr="00E35ABD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E35ABD">
        <w:rPr>
          <w:rFonts w:ascii="Times New Roman" w:hAnsi="Times New Roman" w:cs="Times New Roman"/>
          <w:sz w:val="28"/>
          <w:szCs w:val="28"/>
        </w:rPr>
        <w:t>Т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5ABD">
        <w:rPr>
          <w:rFonts w:ascii="Times New Roman" w:hAnsi="Times New Roman" w:cs="Times New Roman"/>
          <w:sz w:val="28"/>
          <w:szCs w:val="28"/>
        </w:rPr>
        <w:t xml:space="preserve"> длительность производственного цикла услуги, дни;</w:t>
      </w:r>
    </w:p>
    <w:p w:rsidR="0003673F" w:rsidRPr="00E35ABD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044006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5ABD">
        <w:rPr>
          <w:rFonts w:ascii="Times New Roman" w:hAnsi="Times New Roman" w:cs="Times New Roman"/>
          <w:sz w:val="28"/>
          <w:szCs w:val="28"/>
        </w:rPr>
        <w:t>средненедельный выпуск услуг;</w:t>
      </w:r>
    </w:p>
    <w:p w:rsidR="0003673F" w:rsidRPr="00E35ABD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</w:t>
      </w:r>
      <w:r w:rsidRPr="00E35ABD">
        <w:rPr>
          <w:rFonts w:ascii="Times New Roman" w:hAnsi="Times New Roman" w:cs="Times New Roman"/>
          <w:sz w:val="28"/>
          <w:szCs w:val="28"/>
        </w:rPr>
        <w:t xml:space="preserve"> производственная себестоимость услуги, руб.;</w:t>
      </w:r>
    </w:p>
    <w:p w:rsidR="0003673F" w:rsidRDefault="0003673F" w:rsidP="000367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Кз. –</w:t>
      </w:r>
      <w:r w:rsidRPr="00E35ABD">
        <w:rPr>
          <w:rFonts w:ascii="Times New Roman" w:hAnsi="Times New Roman" w:cs="Times New Roman"/>
          <w:sz w:val="28"/>
          <w:szCs w:val="28"/>
        </w:rPr>
        <w:t xml:space="preserve"> коэффициент нарастания затрат в производстве.</w:t>
      </w:r>
    </w:p>
    <w:p w:rsidR="009A0156" w:rsidRPr="00DA2732" w:rsidRDefault="0003673F" w:rsidP="00DA27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 данные, необходимые для рас</w:t>
      </w:r>
      <w:r w:rsidR="00352F1E">
        <w:rPr>
          <w:rFonts w:ascii="Times New Roman" w:hAnsi="Times New Roman" w:cs="Times New Roman"/>
          <w:sz w:val="28"/>
          <w:szCs w:val="28"/>
        </w:rPr>
        <w:t>четов, представлены в таблице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3F" w:rsidRDefault="00352F1E" w:rsidP="00352F1E">
      <w:pPr>
        <w:pStyle w:val="p1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17</w:t>
      </w:r>
      <w:r w:rsidR="0003673F">
        <w:rPr>
          <w:color w:val="000000"/>
          <w:sz w:val="28"/>
          <w:szCs w:val="28"/>
        </w:rPr>
        <w:t xml:space="preserve"> – Таблица для расчетов</w:t>
      </w:r>
    </w:p>
    <w:tbl>
      <w:tblPr>
        <w:tblW w:w="0" w:type="auto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8"/>
        <w:gridCol w:w="2087"/>
        <w:gridCol w:w="1501"/>
        <w:gridCol w:w="1960"/>
        <w:gridCol w:w="1614"/>
        <w:gridCol w:w="1113"/>
      </w:tblGrid>
      <w:tr w:rsidR="0003673F" w:rsidRPr="00044006" w:rsidTr="00FA2AB9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044006">
              <w:rPr>
                <w:rStyle w:val="s6"/>
                <w:b/>
                <w:color w:val="000000"/>
                <w:sz w:val="22"/>
                <w:szCs w:val="22"/>
              </w:rPr>
              <w:t>Вид продукции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044006">
              <w:rPr>
                <w:rStyle w:val="s6"/>
                <w:b/>
                <w:color w:val="000000"/>
                <w:sz w:val="22"/>
                <w:szCs w:val="22"/>
              </w:rPr>
              <w:t>Производственный цикл, дней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044006">
              <w:rPr>
                <w:rStyle w:val="s6"/>
                <w:b/>
                <w:color w:val="000000"/>
                <w:sz w:val="22"/>
                <w:szCs w:val="22"/>
              </w:rPr>
              <w:t>Коэффициент нарастания затрат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044006">
              <w:rPr>
                <w:rStyle w:val="s6"/>
                <w:b/>
                <w:color w:val="000000"/>
                <w:sz w:val="22"/>
                <w:szCs w:val="22"/>
              </w:rPr>
              <w:t>Средненедельный выпуск услуг, шт.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044006">
              <w:rPr>
                <w:rStyle w:val="s6"/>
                <w:b/>
                <w:color w:val="000000"/>
                <w:sz w:val="22"/>
                <w:szCs w:val="22"/>
              </w:rPr>
              <w:t>Себестоимость услуги, руб.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044006">
              <w:rPr>
                <w:rStyle w:val="s6"/>
                <w:b/>
                <w:color w:val="000000"/>
                <w:sz w:val="22"/>
                <w:szCs w:val="22"/>
              </w:rPr>
              <w:t>Норматив НП, руб.</w:t>
            </w:r>
          </w:p>
        </w:tc>
      </w:tr>
      <w:tr w:rsidR="0003673F" w:rsidRPr="00044006" w:rsidTr="00FA2AB9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0,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3 700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488 400</w:t>
            </w:r>
          </w:p>
        </w:tc>
      </w:tr>
      <w:tr w:rsidR="0003673F" w:rsidRPr="00044006" w:rsidTr="00FA2AB9">
        <w:tc>
          <w:tcPr>
            <w:tcW w:w="8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0,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216000</w:t>
            </w:r>
          </w:p>
        </w:tc>
      </w:tr>
      <w:tr w:rsidR="0003673F" w:rsidRPr="00044006" w:rsidTr="00FA2AB9">
        <w:tc>
          <w:tcPr>
            <w:tcW w:w="8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0,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107648</w:t>
            </w:r>
          </w:p>
        </w:tc>
      </w:tr>
      <w:tr w:rsidR="0003673F" w:rsidRPr="00044006" w:rsidTr="00FA2AB9">
        <w:tc>
          <w:tcPr>
            <w:tcW w:w="8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0,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30,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91547</w:t>
            </w:r>
          </w:p>
        </w:tc>
      </w:tr>
      <w:tr w:rsidR="0003673F" w:rsidRPr="00044006" w:rsidTr="00FA2AB9">
        <w:tc>
          <w:tcPr>
            <w:tcW w:w="868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9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8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0,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008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12,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4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9738</w:t>
            </w:r>
          </w:p>
        </w:tc>
      </w:tr>
      <w:tr w:rsidR="0003673F" w:rsidRPr="00044006" w:rsidTr="00FA2AB9">
        <w:tc>
          <w:tcPr>
            <w:tcW w:w="8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0,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11,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6346</w:t>
            </w:r>
          </w:p>
        </w:tc>
      </w:tr>
      <w:tr w:rsidR="0003673F" w:rsidRPr="00044006" w:rsidTr="00FA2AB9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0,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16,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4997</w:t>
            </w:r>
          </w:p>
        </w:tc>
      </w:tr>
      <w:tr w:rsidR="0003673F" w:rsidRPr="00044006" w:rsidTr="00FA2AB9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0,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33,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4006">
              <w:rPr>
                <w:rStyle w:val="s6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73F" w:rsidRPr="00044006" w:rsidRDefault="0003673F" w:rsidP="00FA2AB9">
            <w:pPr>
              <w:pStyle w:val="p21"/>
              <w:spacing w:before="99" w:beforeAutospacing="0" w:after="99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s6"/>
                <w:color w:val="000000"/>
                <w:sz w:val="22"/>
                <w:szCs w:val="22"/>
              </w:rPr>
              <w:t>4 410,</w:t>
            </w:r>
            <w:r w:rsidRPr="00044006">
              <w:rPr>
                <w:rStyle w:val="s6"/>
                <w:color w:val="000000"/>
                <w:sz w:val="22"/>
                <w:szCs w:val="22"/>
              </w:rPr>
              <w:t>3</w:t>
            </w:r>
          </w:p>
        </w:tc>
      </w:tr>
    </w:tbl>
    <w:p w:rsidR="0003673F" w:rsidRPr="00044006" w:rsidRDefault="0003673F" w:rsidP="0003673F">
      <w:pPr>
        <w:pStyle w:val="p11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44006">
        <w:rPr>
          <w:color w:val="000000"/>
          <w:sz w:val="28"/>
          <w:szCs w:val="28"/>
        </w:rPr>
        <w:t>Норматив оборотных средств в незавершенном производстве:</w:t>
      </w:r>
    </w:p>
    <w:p w:rsidR="0003673F" w:rsidRPr="00044006" w:rsidRDefault="0003673F" w:rsidP="0003673F">
      <w:pPr>
        <w:pStyle w:val="p11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44006">
        <w:rPr>
          <w:color w:val="000000"/>
          <w:sz w:val="28"/>
          <w:szCs w:val="28"/>
        </w:rPr>
        <w:t>Н</w:t>
      </w:r>
      <w:r w:rsidRPr="00044006">
        <w:rPr>
          <w:rStyle w:val="s7"/>
          <w:rFonts w:eastAsiaTheme="majorEastAsia"/>
          <w:color w:val="000000"/>
          <w:sz w:val="28"/>
          <w:szCs w:val="28"/>
          <w:vertAlign w:val="subscript"/>
        </w:rPr>
        <w:t>нзп</w:t>
      </w:r>
      <w:r w:rsidRPr="00044006">
        <w:rPr>
          <w:rStyle w:val="apple-converted-space"/>
          <w:color w:val="00000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= 11*20*3700*0,</w:t>
      </w:r>
      <w:r w:rsidRPr="00044006">
        <w:rPr>
          <w:color w:val="000000"/>
          <w:sz w:val="28"/>
          <w:szCs w:val="28"/>
        </w:rPr>
        <w:t>60 = 488400 (1)</w:t>
      </w:r>
      <w:r>
        <w:rPr>
          <w:color w:val="000000"/>
          <w:sz w:val="28"/>
          <w:szCs w:val="28"/>
        </w:rPr>
        <w:t>;</w:t>
      </w:r>
    </w:p>
    <w:p w:rsidR="0003673F" w:rsidRPr="00044006" w:rsidRDefault="0003673F" w:rsidP="0003673F">
      <w:pPr>
        <w:pStyle w:val="p11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44006">
        <w:rPr>
          <w:color w:val="000000"/>
          <w:sz w:val="28"/>
          <w:szCs w:val="28"/>
        </w:rPr>
        <w:t>Н</w:t>
      </w:r>
      <w:r w:rsidRPr="00044006">
        <w:rPr>
          <w:rStyle w:val="s7"/>
          <w:rFonts w:eastAsiaTheme="majorEastAsia"/>
          <w:color w:val="000000"/>
          <w:sz w:val="28"/>
          <w:szCs w:val="28"/>
          <w:vertAlign w:val="subscript"/>
        </w:rPr>
        <w:t>нзп</w:t>
      </w:r>
      <w:r w:rsidRPr="00044006">
        <w:rPr>
          <w:rStyle w:val="apple-converted-space"/>
          <w:color w:val="00000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= 15*15*1500*0,</w:t>
      </w:r>
      <w:r w:rsidRPr="00044006">
        <w:rPr>
          <w:color w:val="000000"/>
          <w:sz w:val="28"/>
          <w:szCs w:val="28"/>
        </w:rPr>
        <w:t>64 = 21600 (2)</w:t>
      </w:r>
      <w:r>
        <w:rPr>
          <w:color w:val="000000"/>
          <w:sz w:val="28"/>
          <w:szCs w:val="28"/>
        </w:rPr>
        <w:t>;</w:t>
      </w:r>
    </w:p>
    <w:p w:rsidR="0003673F" w:rsidRPr="00044006" w:rsidRDefault="0003673F" w:rsidP="0003673F">
      <w:pPr>
        <w:pStyle w:val="p11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44006">
        <w:rPr>
          <w:color w:val="000000"/>
          <w:sz w:val="28"/>
          <w:szCs w:val="28"/>
        </w:rPr>
        <w:t>Н</w:t>
      </w:r>
      <w:r w:rsidRPr="00044006">
        <w:rPr>
          <w:rStyle w:val="s7"/>
          <w:rFonts w:eastAsiaTheme="majorEastAsia"/>
          <w:color w:val="000000"/>
          <w:sz w:val="28"/>
          <w:szCs w:val="28"/>
          <w:vertAlign w:val="subscript"/>
        </w:rPr>
        <w:t>нзп</w:t>
      </w:r>
      <w:r w:rsidRPr="00044006">
        <w:rPr>
          <w:rStyle w:val="apple-converted-space"/>
          <w:color w:val="00000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= 8*40*580*0,</w:t>
      </w:r>
      <w:r w:rsidRPr="00044006">
        <w:rPr>
          <w:color w:val="000000"/>
          <w:sz w:val="28"/>
          <w:szCs w:val="28"/>
        </w:rPr>
        <w:t>58 = 107648 (3)</w:t>
      </w:r>
      <w:r>
        <w:rPr>
          <w:color w:val="000000"/>
          <w:sz w:val="28"/>
          <w:szCs w:val="28"/>
        </w:rPr>
        <w:t>;</w:t>
      </w:r>
    </w:p>
    <w:p w:rsidR="0003673F" w:rsidRPr="00044006" w:rsidRDefault="0003673F" w:rsidP="0003673F">
      <w:pPr>
        <w:pStyle w:val="p11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44006">
        <w:rPr>
          <w:color w:val="000000"/>
          <w:sz w:val="28"/>
          <w:szCs w:val="28"/>
        </w:rPr>
        <w:t>Н</w:t>
      </w:r>
      <w:r w:rsidRPr="00044006">
        <w:rPr>
          <w:rStyle w:val="s7"/>
          <w:rFonts w:eastAsiaTheme="majorEastAsia"/>
          <w:color w:val="000000"/>
          <w:sz w:val="28"/>
          <w:szCs w:val="28"/>
          <w:vertAlign w:val="subscript"/>
        </w:rPr>
        <w:t>нзп</w:t>
      </w:r>
      <w:r w:rsidRPr="00044006">
        <w:rPr>
          <w:rStyle w:val="apple-converted-space"/>
          <w:color w:val="00000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= 6*30,7*710*0,</w:t>
      </w:r>
      <w:r w:rsidRPr="00044006">
        <w:rPr>
          <w:color w:val="000000"/>
          <w:sz w:val="28"/>
          <w:szCs w:val="28"/>
        </w:rPr>
        <w:t>7 = 91547 (4)</w:t>
      </w:r>
      <w:r>
        <w:rPr>
          <w:color w:val="000000"/>
          <w:sz w:val="28"/>
          <w:szCs w:val="28"/>
        </w:rPr>
        <w:t>;</w:t>
      </w:r>
    </w:p>
    <w:p w:rsidR="0003673F" w:rsidRPr="00044006" w:rsidRDefault="0003673F" w:rsidP="0003673F">
      <w:pPr>
        <w:pStyle w:val="p11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44006">
        <w:rPr>
          <w:color w:val="000000"/>
          <w:sz w:val="28"/>
          <w:szCs w:val="28"/>
        </w:rPr>
        <w:t>Н</w:t>
      </w:r>
      <w:r w:rsidRPr="00044006">
        <w:rPr>
          <w:rStyle w:val="s7"/>
          <w:rFonts w:eastAsiaTheme="majorEastAsia"/>
          <w:color w:val="000000"/>
          <w:sz w:val="28"/>
          <w:szCs w:val="28"/>
          <w:vertAlign w:val="subscript"/>
        </w:rPr>
        <w:t>нзп</w:t>
      </w:r>
      <w:r w:rsidRPr="00044006">
        <w:rPr>
          <w:rStyle w:val="apple-converted-space"/>
          <w:color w:val="00000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= 6*12,7*180*0,</w:t>
      </w:r>
      <w:r w:rsidRPr="00044006">
        <w:rPr>
          <w:color w:val="000000"/>
          <w:sz w:val="28"/>
          <w:szCs w:val="28"/>
        </w:rPr>
        <w:t>71 = 9738 (5)</w:t>
      </w:r>
      <w:r>
        <w:rPr>
          <w:color w:val="000000"/>
          <w:sz w:val="28"/>
          <w:szCs w:val="28"/>
        </w:rPr>
        <w:t>;</w:t>
      </w:r>
    </w:p>
    <w:p w:rsidR="0003673F" w:rsidRPr="00044006" w:rsidRDefault="0003673F" w:rsidP="0003673F">
      <w:pPr>
        <w:pStyle w:val="p11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44006">
        <w:rPr>
          <w:color w:val="000000"/>
          <w:sz w:val="28"/>
          <w:szCs w:val="28"/>
        </w:rPr>
        <w:t>Н</w:t>
      </w:r>
      <w:r w:rsidRPr="00044006">
        <w:rPr>
          <w:rStyle w:val="s7"/>
          <w:rFonts w:eastAsiaTheme="majorEastAsia"/>
          <w:color w:val="000000"/>
          <w:sz w:val="28"/>
          <w:szCs w:val="28"/>
          <w:vertAlign w:val="subscript"/>
        </w:rPr>
        <w:t>нзп</w:t>
      </w:r>
      <w:r w:rsidRPr="00044006">
        <w:rPr>
          <w:rStyle w:val="apple-converted-space"/>
          <w:color w:val="00000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= 3*11,3*260*0,</w:t>
      </w:r>
      <w:r w:rsidRPr="00044006">
        <w:rPr>
          <w:color w:val="000000"/>
          <w:sz w:val="28"/>
          <w:szCs w:val="28"/>
        </w:rPr>
        <w:t>72 = 6346 (6)</w:t>
      </w:r>
      <w:r>
        <w:rPr>
          <w:color w:val="000000"/>
          <w:sz w:val="28"/>
          <w:szCs w:val="28"/>
        </w:rPr>
        <w:t>;</w:t>
      </w:r>
    </w:p>
    <w:p w:rsidR="0003673F" w:rsidRPr="00044006" w:rsidRDefault="0003673F" w:rsidP="0003673F">
      <w:pPr>
        <w:pStyle w:val="p11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44006">
        <w:rPr>
          <w:color w:val="000000"/>
          <w:sz w:val="28"/>
          <w:szCs w:val="28"/>
        </w:rPr>
        <w:t>Н</w:t>
      </w:r>
      <w:r w:rsidRPr="00044006">
        <w:rPr>
          <w:rStyle w:val="s7"/>
          <w:rFonts w:eastAsiaTheme="majorEastAsia"/>
          <w:color w:val="000000"/>
          <w:sz w:val="28"/>
          <w:szCs w:val="28"/>
          <w:vertAlign w:val="subscript"/>
        </w:rPr>
        <w:t>нзп</w:t>
      </w:r>
      <w:r w:rsidRPr="00044006">
        <w:rPr>
          <w:rStyle w:val="apple-converted-space"/>
          <w:color w:val="000000"/>
          <w:sz w:val="28"/>
          <w:szCs w:val="28"/>
          <w:vertAlign w:val="subscript"/>
        </w:rPr>
        <w:t> </w:t>
      </w:r>
      <w:r>
        <w:rPr>
          <w:color w:val="000000"/>
          <w:sz w:val="28"/>
          <w:szCs w:val="28"/>
        </w:rPr>
        <w:t>= 4*16,7*110*0,</w:t>
      </w:r>
      <w:r w:rsidRPr="00044006">
        <w:rPr>
          <w:color w:val="000000"/>
          <w:sz w:val="28"/>
          <w:szCs w:val="28"/>
        </w:rPr>
        <w:t>68 = 4997 (7)</w:t>
      </w:r>
      <w:r>
        <w:rPr>
          <w:color w:val="000000"/>
          <w:sz w:val="28"/>
          <w:szCs w:val="28"/>
        </w:rPr>
        <w:t>;</w:t>
      </w:r>
    </w:p>
    <w:p w:rsidR="0003673F" w:rsidRPr="00044006" w:rsidRDefault="0003673F" w:rsidP="0003673F">
      <w:pPr>
        <w:pStyle w:val="p11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44006">
        <w:rPr>
          <w:color w:val="000000"/>
          <w:sz w:val="28"/>
          <w:szCs w:val="28"/>
        </w:rPr>
        <w:t>Н</w:t>
      </w:r>
      <w:r w:rsidRPr="00044006">
        <w:rPr>
          <w:rStyle w:val="s7"/>
          <w:rFonts w:eastAsiaTheme="majorEastAsia"/>
          <w:color w:val="000000"/>
          <w:sz w:val="28"/>
          <w:szCs w:val="28"/>
          <w:vertAlign w:val="subscript"/>
        </w:rPr>
        <w:t>нзп</w:t>
      </w:r>
      <w:r w:rsidRPr="0004400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= 2*33,3*86*0,</w:t>
      </w:r>
      <w:r w:rsidRPr="00044006">
        <w:rPr>
          <w:color w:val="000000"/>
          <w:sz w:val="28"/>
          <w:szCs w:val="28"/>
        </w:rPr>
        <w:t>77 = 4410, 3 (8)</w:t>
      </w:r>
      <w:r>
        <w:rPr>
          <w:color w:val="000000"/>
          <w:sz w:val="28"/>
          <w:szCs w:val="28"/>
        </w:rPr>
        <w:t>;</w:t>
      </w:r>
    </w:p>
    <w:p w:rsidR="0003673F" w:rsidRDefault="0003673F" w:rsidP="0003673F">
      <w:pPr>
        <w:pStyle w:val="p11"/>
        <w:shd w:val="clear" w:color="auto" w:fill="FFFFFF"/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044006">
        <w:rPr>
          <w:color w:val="000000"/>
          <w:sz w:val="28"/>
          <w:szCs w:val="28"/>
        </w:rPr>
        <w:t>Н</w:t>
      </w:r>
      <w:r w:rsidRPr="00044006">
        <w:rPr>
          <w:rStyle w:val="s7"/>
          <w:rFonts w:eastAsiaTheme="majorEastAsia"/>
          <w:color w:val="000000"/>
          <w:sz w:val="28"/>
          <w:szCs w:val="28"/>
          <w:vertAlign w:val="subscript"/>
        </w:rPr>
        <w:t>нзп</w:t>
      </w:r>
      <w:r w:rsidRPr="0004400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= 734686,</w:t>
      </w:r>
      <w:r w:rsidRPr="00044006">
        <w:rPr>
          <w:color w:val="000000"/>
          <w:sz w:val="28"/>
          <w:szCs w:val="28"/>
        </w:rPr>
        <w:t>3 (1-8)</w:t>
      </w:r>
      <w:r>
        <w:rPr>
          <w:color w:val="000000"/>
          <w:sz w:val="28"/>
          <w:szCs w:val="28"/>
        </w:rPr>
        <w:t>.</w:t>
      </w:r>
    </w:p>
    <w:p w:rsidR="00352F1E" w:rsidRDefault="0003673F" w:rsidP="00352F1E">
      <w:pPr>
        <w:pStyle w:val="p11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Представленная методика позволит ООО «Контакт+» увеличить доходы путем снижения затрат на хранение запасов, </w:t>
      </w:r>
      <w:r w:rsidR="00352F1E">
        <w:rPr>
          <w:color w:val="000000"/>
          <w:sz w:val="28"/>
          <w:szCs w:val="28"/>
        </w:rPr>
        <w:t xml:space="preserve">увеличения их оборачиваемости. </w:t>
      </w:r>
    </w:p>
    <w:p w:rsidR="0003673F" w:rsidRPr="00352F1E" w:rsidRDefault="0003673F" w:rsidP="00352F1E">
      <w:pPr>
        <w:pStyle w:val="p11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73719">
        <w:rPr>
          <w:color w:val="000000" w:themeColor="text1"/>
          <w:sz w:val="28"/>
          <w:szCs w:val="28"/>
        </w:rPr>
        <w:t xml:space="preserve">Снижение себестоимости продукции и услуг в первую очередь возможно за счет оптимизации затрат. Оптимизация затрат </w:t>
      </w:r>
      <w:r>
        <w:rPr>
          <w:color w:val="000000" w:themeColor="text1"/>
          <w:sz w:val="28"/>
          <w:szCs w:val="28"/>
        </w:rPr>
        <w:t>–</w:t>
      </w:r>
      <w:r w:rsidRPr="00A73719">
        <w:rPr>
          <w:color w:val="000000" w:themeColor="text1"/>
          <w:sz w:val="28"/>
          <w:szCs w:val="28"/>
        </w:rPr>
        <w:t xml:space="preserve"> необходимая мера, которая позволяет выполнять взятые на себя по договорам </w:t>
      </w:r>
      <w:r w:rsidRPr="000C4AA2">
        <w:rPr>
          <w:color w:val="000000" w:themeColor="text1"/>
          <w:sz w:val="28"/>
          <w:szCs w:val="28"/>
        </w:rPr>
        <w:t>обязательства, но при этом значительно сокращать производственные расход</w:t>
      </w:r>
      <w:r>
        <w:rPr>
          <w:color w:val="000000" w:themeColor="text1"/>
          <w:sz w:val="28"/>
          <w:szCs w:val="28"/>
        </w:rPr>
        <w:t>ы.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lastRenderedPageBreak/>
        <w:t>Снижение себестоимости услуг ООО «Контакт+» имеет свою специфику, связанную с особенностями деятельности. Снижение себестоимости строительства подразумевает комплексный подход, заключающийся в применении следующих инструментов: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поиск наиболее эффективных конструктивных решений на стадии создания проекта, при правильном подходе экономия может составлять до 30%;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использование совре</w:t>
      </w:r>
      <w:r>
        <w:rPr>
          <w:color w:val="000000" w:themeColor="text1"/>
          <w:sz w:val="28"/>
          <w:szCs w:val="28"/>
        </w:rPr>
        <w:t>менных материалов, комплектующих</w:t>
      </w:r>
      <w:r w:rsidRPr="00800FA8">
        <w:rPr>
          <w:color w:val="000000" w:themeColor="text1"/>
          <w:sz w:val="28"/>
          <w:szCs w:val="28"/>
        </w:rPr>
        <w:t xml:space="preserve"> изделий и технологий;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снижение расходов за счет рационального использования материалов;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применение эффективной и экономичной спецтехники;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оптимизация логистических процессов;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снижение себестоимости строительства за счет изменения режима работы.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Сметная стоимость строительно-монтажных работ (ССМР) включает прямые расходы (ПР), накладные затраты (НЗ) и прибыль (П):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left="2124"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ССМР = ПР + НЗ + П                          (17)</w:t>
      </w:r>
      <w:r w:rsidRPr="00800FA8">
        <w:rPr>
          <w:rStyle w:val="a9"/>
          <w:color w:val="000000" w:themeColor="text1"/>
          <w:sz w:val="28"/>
          <w:szCs w:val="28"/>
        </w:rPr>
        <w:footnoteReference w:id="28"/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Уровень себестоимости строительно-монтажных операций определяется множеством экономических факторов. В основе расходов на их выполнение лежат объективные причины: потребность в услугах, сложившийся уровень цен на них, затраты на ресурсы и многие другие. В то же время на них оказывает значительное влияние рациональное и эффективное использование имеющихся ресурсов. Возможно снижение себестоимости строительства за счет следующих методик: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применение более современных и технологически совершенных материалов (запасы групп А и Б);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 xml:space="preserve">– использование производительных технических средств, что дает возможность снижения себестоимости за счет уменьшения расходов на </w:t>
      </w:r>
      <w:r w:rsidRPr="00800FA8">
        <w:rPr>
          <w:color w:val="000000" w:themeColor="text1"/>
          <w:sz w:val="28"/>
          <w:szCs w:val="28"/>
        </w:rPr>
        <w:lastRenderedPageBreak/>
        <w:t>топливо и электроэнергию, а также на ремонт и обслуживание механизмов/машин;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корректировка режима работы и внедрение экономичной технологии;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снижение себестоимости за счет рационализации процессов хранения и расходования строительных материалов;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реорганизация управления строительным производством.</w:t>
      </w:r>
    </w:p>
    <w:p w:rsidR="0003673F" w:rsidRPr="00994517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 xml:space="preserve">Кроме того, снижение себестоимости строительно-монтажных может быть достигнуто при выборе оптимальных темпов и сроков их выполнения, а также при корректировке управления запасами сырья и материалов. Реализация проектов с применением прогрессивных конструктивно-технологических решений, предполагающих использование предварительного напряжения, позволит преодолеть главные недостатки строительства: 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высокий уровень расходов;</w:t>
      </w:r>
    </w:p>
    <w:p w:rsidR="0003673F" w:rsidRPr="00800FA8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повышенную материалоемкость;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0FA8">
        <w:rPr>
          <w:color w:val="000000" w:themeColor="text1"/>
          <w:sz w:val="28"/>
          <w:szCs w:val="28"/>
        </w:rPr>
        <w:t>–  увеличенные трудовые затраты и продолжительность строительно-монтажных работ.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целом можно выделить пять групп мероприятий, которые ООО «Контакт+» может проводить с целью снижения себестоимости: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снижение затрат на материальные ресурсы, для чего необходимо повысить эффективность их использования за счет уменьшения норм расхода, устранения неэффективного использования и неэффективной организации хранения запасов, ликвидации потерь от брака;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уменьшения затрат на работу с заказчиками за счет усовершенствования рекламной деятельности, уменьшения транспортных затрат, оптимизацию групп заказчиков и повышение эффективности работы с группами;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снижение затрат на трудовые ресурсы за счет повышения качества привлекаемых трудовых ресурсов, улучшения мотивации работников, </w:t>
      </w:r>
      <w:r>
        <w:rPr>
          <w:color w:val="000000" w:themeColor="text1"/>
          <w:sz w:val="28"/>
          <w:szCs w:val="28"/>
        </w:rPr>
        <w:lastRenderedPageBreak/>
        <w:t>реализации эффективной социальной политики и определения оптимальной численности работников;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уменьшение амортизационных отчислений за счет выбора оптимального метода начисления амортизации, а также снижения периода внедрения новой техники;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определение размера снижения себестоимости строительно-монтажных работ по представленным ниже показателям.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Снижение себестоимости строительно-монтажных работ может проводиться по крупным элементам планируемых издержек в следующем порядке:</w:t>
      </w:r>
    </w:p>
    <w:p w:rsidR="0003673F" w:rsidRDefault="0003673F" w:rsidP="0003673F">
      <w:pPr>
        <w:pStyle w:val="ae"/>
        <w:numPr>
          <w:ilvl w:val="0"/>
          <w:numId w:val="1"/>
        </w:numPr>
        <w:shd w:val="clear" w:color="auto" w:fill="FFFFFF"/>
        <w:spacing w:before="60" w:beforeAutospacing="0" w:after="75" w:afterAutospacing="0" w:line="360" w:lineRule="auto"/>
        <w:ind w:left="0"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снижение себестоимости, как следствие уменьшения затрат на материалы и конструкции, рассчитывается по формуле: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8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 = Ум.о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1–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(100-Ур)(100-Уц)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100*100</m:t>
                </m:r>
              </m:den>
            </m:f>
          </m:e>
        </m:d>
      </m:oMath>
      <w:r>
        <w:rPr>
          <w:color w:val="000000" w:themeColor="text1"/>
          <w:sz w:val="28"/>
          <w:szCs w:val="28"/>
        </w:rPr>
        <w:t xml:space="preserve">   (18)</w:t>
      </w:r>
      <w:r>
        <w:rPr>
          <w:rStyle w:val="a9"/>
          <w:color w:val="000000" w:themeColor="text1"/>
          <w:sz w:val="28"/>
          <w:szCs w:val="28"/>
        </w:rPr>
        <w:footnoteReference w:id="29"/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 Ум.о – удельный вес затрат на данный материал или вид конструкции;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 – процент снижения нормы расхода на данный материал или вид конструкции;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Уц – процент снижения цены на данный материал или вид конструкции.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2) уменьшение расходов на эксплуатацию строительной техники в общей стоимости работ прогнозируется, исходя из планируемого повышения норм выработки строительной техники по следующей формуле: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Смех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Умех.о*Пу.п*Рмех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(100+Рмех)*100</m:t>
            </m:r>
          </m:den>
        </m:f>
      </m:oMath>
      <w:r>
        <w:rPr>
          <w:color w:val="000000" w:themeColor="text1"/>
          <w:sz w:val="28"/>
          <w:szCs w:val="28"/>
        </w:rPr>
        <w:t xml:space="preserve">                   (19)</w:t>
      </w:r>
      <w:r>
        <w:rPr>
          <w:rStyle w:val="a9"/>
          <w:color w:val="000000" w:themeColor="text1"/>
          <w:sz w:val="28"/>
          <w:szCs w:val="28"/>
        </w:rPr>
        <w:footnoteReference w:id="30"/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 Умех.о – уровень расходов на эксплуатацию строительной техники в общей стоимости выполненных работ;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Пу.п – доля условно-постоянных расходов на эксплуатацию строительной техники в общей стоимости работ;</w:t>
      </w:r>
    </w:p>
    <w:p w:rsidR="0003673F" w:rsidRDefault="0003673F" w:rsidP="0003673F">
      <w:pPr>
        <w:pStyle w:val="ae"/>
        <w:shd w:val="clear" w:color="auto" w:fill="FFFFFF"/>
        <w:spacing w:before="60" w:beforeAutospacing="0" w:after="7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Рмех – планируемый процент увеличения выработки строительной техники.</w:t>
      </w: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352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4E" w:rsidRPr="00DA2732" w:rsidRDefault="00352F1E" w:rsidP="00DA27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7333909"/>
      <w:r w:rsidRPr="00DA273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5"/>
    </w:p>
    <w:p w:rsidR="00352F1E" w:rsidRDefault="00352F1E" w:rsidP="00DA27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DA27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2732" w:rsidRDefault="00DA2732" w:rsidP="00DA27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2F1E" w:rsidRDefault="00352F1E" w:rsidP="00352F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Проведенная преддипломная практика позволила получить знания и практические навыки по следующим направлениям финансово-экономического анализа:</w:t>
      </w:r>
    </w:p>
    <w:p w:rsidR="00352F1E" w:rsidRDefault="00352F1E" w:rsidP="00352F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анализ доходов предприятия;</w:t>
      </w:r>
    </w:p>
    <w:p w:rsidR="00352F1E" w:rsidRDefault="00352F1E" w:rsidP="00352F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анализ расходов предприятия;</w:t>
      </w:r>
    </w:p>
    <w:p w:rsidR="00352F1E" w:rsidRDefault="00352F1E" w:rsidP="00352F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анализ финансового результата предприятия.</w:t>
      </w:r>
    </w:p>
    <w:p w:rsidR="00352F1E" w:rsidRDefault="00352F1E" w:rsidP="00352F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Было установлено, что в части доходов на финансовый результат предприятия в первую очередь играет прибыль. Даже при большой выручке, но при высоких затратах на производство, прибыль может быть невелика, поэтому финансовые результаты оказываются недостаточно приемлемыми для деятельности предприятия, т. е. прибыльность и рентабельность предприятия может быть на низком уровне даже при большом объеме продаж. Основными задачами, которые решаются на пути увеличения прибыльности предприятия – это снижение затрат и себестоимости </w:t>
      </w:r>
      <w:r w:rsidR="00D46352">
        <w:rPr>
          <w:rFonts w:ascii="Times New Roman" w:hAnsi="Times New Roman" w:cs="Times New Roman"/>
          <w:sz w:val="28"/>
          <w:szCs w:val="28"/>
        </w:rPr>
        <w:t>работ или услуг. При этом снижение затрат и себестоимости работ и услуг ООО «Контакт+» имеет свою специфику, связанную с отраслевыми особенностями и особенностями деятельности.</w:t>
      </w:r>
    </w:p>
    <w:p w:rsidR="00D46352" w:rsidRDefault="00D46352" w:rsidP="00352F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Было установлено, что анализ доходов, расходов и финансового результата необходимо проводить как можно чаще (не реже одного раза в квартал), чтобы точно представлять, куда движется предприятие, насколько успешна с точки зрения получения прибыли выбранная стратегия, нет ли у предприятия финансово-экономических угроз, негативно влияющих на деятельность, которые необходимо срочно устранять, а также какие еще меры могут быть предприняты для повышения эффективности деятельности предприятия.</w:t>
      </w:r>
    </w:p>
    <w:p w:rsidR="009A0156" w:rsidRDefault="009A0156" w:rsidP="00352F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156" w:rsidRDefault="009A0156" w:rsidP="00352F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156" w:rsidRPr="00DA2732" w:rsidRDefault="00DA2732" w:rsidP="00DA27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7333910"/>
      <w:r w:rsidRPr="00DA273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ИСПОЛЬЗОВАННОЙ ЛИТЕРАТУРЫ</w:t>
      </w:r>
      <w:bookmarkEnd w:id="6"/>
    </w:p>
    <w:p w:rsidR="009A0156" w:rsidRDefault="009A0156" w:rsidP="00DA2732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732" w:rsidRDefault="00DA2732" w:rsidP="00DA2732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732" w:rsidRPr="008A3B51" w:rsidRDefault="00DA2732" w:rsidP="00DA2732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 xml:space="preserve">Брыкова Н.В. Основы бухгалтерского учета на предприятиях торговли / Н.В. Брыкова. – М.: </w:t>
      </w:r>
      <w:r w:rsidRPr="008A3B51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8A3B51">
        <w:rPr>
          <w:rFonts w:ascii="Times New Roman" w:hAnsi="Times New Roman" w:cs="Times New Roman"/>
          <w:sz w:val="28"/>
          <w:szCs w:val="28"/>
        </w:rPr>
        <w:t>. – 2015. – 144 с.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 xml:space="preserve">Бухгалтерская отчетность ООО «КДС» и ООО «Квадрат» [Электронный ресурс] </w:t>
      </w:r>
      <w:r w:rsidRPr="008A3B5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3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8A3B5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zachestnyibiznes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>Дыбаль С.А., Дыбаль М.А. Финансовый анализ: теория и практика / С.А. Дыбаль, М.А. Дыбаль. – М.: КноРус. – 2018. – 325 с.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 xml:space="preserve">Едронова В.Н., Мизиковский Е.А. Учет, оценка доходности и анализ вложений / В.Н. Едронова, Е.А. Мизиковский. – М.: Магистр. – 2013. </w:t>
      </w:r>
      <w:r w:rsidRPr="008A3B51">
        <w:rPr>
          <w:rFonts w:ascii="Times New Roman" w:hAnsi="Times New Roman" w:cs="Times New Roman"/>
          <w:sz w:val="28"/>
          <w:szCs w:val="28"/>
        </w:rPr>
        <w:softHyphen/>
        <w:t>– 368 с.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>Ефимова О.В.,  Мельник М.В. Анализ финансовой отчетности / О.В Ефимова, М.В. Мельник, Е.И. Бородина. – М.: Омега-Л. – 2012. – 400 с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>Кондратьев В.С. Финансово-хозяйственная деятельность организации / В.С. Кондратьев. – Р-н/Д.: Феникс. – 2018. – 287 с.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>Кругляк З.И., Калинская М.В. Налоговый учет и отчетность в современных условиях / З.И. Кругляк, М.В. Калинская. – М.: Инфра-М. – 2015. – 352 с.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(</w:t>
      </w:r>
      <w:r w:rsidRPr="008A3B51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Pr="008A3B51">
        <w:rPr>
          <w:rFonts w:ascii="Times New Roman" w:hAnsi="Times New Roman" w:cs="Times New Roman"/>
          <w:sz w:val="28"/>
          <w:szCs w:val="28"/>
        </w:rPr>
        <w:t xml:space="preserve">) </w:t>
      </w:r>
      <w:r w:rsidRPr="008A3B5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3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A3B5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>Павлов А.С. Экономика строительства / А.С. Павлов. – М.: Юрайт. – 2017. – 364 с.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>Пласкова Н.С. Финансовый анализ деятельности организации / Н.С. Пласкова. – М.: Инфра-М. – 2017. – 368 с.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t xml:space="preserve">Справочник ОКВЭД 2019 с расшифровкой кодов [Электронный ресурс] </w:t>
      </w:r>
      <w:r w:rsidRPr="008A3B5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3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8A3B5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</w:rPr>
          <w:t>.код-оквэд.рф</w:t>
        </w:r>
      </w:hyperlink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Федеральный закон «Об инновационном центре «Сколково» от 28.09.2010 N 244-ФЗ </w:t>
      </w: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URL</w:t>
      </w: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hyperlink r:id="rId18" w:history="1"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www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consultant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ru</w:t>
        </w:r>
      </w:hyperlink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«О бухгалтерском учете» от 06.12.2011 №402-ФЗ (с изм. от 28.11.2018 №444-ФЗ </w:t>
      </w:r>
      <w:r w:rsidRPr="008A3B5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3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8A3B5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8A3B5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Постановление Правительства РФ от 25.02.2011 №107 (ред. от 26.08.2013)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 </w:t>
      </w: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URL</w:t>
      </w: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hyperlink r:id="rId20" w:history="1"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www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consultant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ru</w:t>
        </w:r>
      </w:hyperlink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Приказ Минфина России от 06.05.1999 №32н (c изм. от 06.04.2015) «Об утверждении Положения по бухгалтерскому учету «Доходы организации» ПБУ 9/99» (Зарегистрировано в Минюсте России 31.05.1999 №1791) </w:t>
      </w:r>
      <w:r w:rsidRPr="008A3B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 w:eastAsia="ru-RU"/>
        </w:rPr>
        <w:t>URL</w:t>
      </w:r>
      <w:r w:rsidRPr="008A3B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21" w:history="1">
        <w:r w:rsidRPr="008A3B51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www</w:t>
        </w:r>
        <w:r w:rsidRPr="008A3B51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.</w:t>
        </w:r>
        <w:r w:rsidRPr="008A3B51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consultant</w:t>
        </w:r>
        <w:r w:rsidRPr="008A3B51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.</w:t>
        </w:r>
        <w:r w:rsidRPr="008A3B51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Pr="008A3B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9A0156" w:rsidRPr="008A3B51" w:rsidRDefault="00ED476C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A0156" w:rsidRPr="008A3B5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eastAsia="ru-RU"/>
          </w:rPr>
          <w:t>Приказ Минфина России от 06.05.1999 №33н (с изм. от 06.04.2015) «Об утверждении Положения по бухгалтерскому учету «Расходы организации» ПБУ 10/99» (Зарегистрировано в Минюсте России 31.05.1999 №1790)</w:t>
        </w:r>
      </w:hyperlink>
      <w:r w:rsidR="009A0156" w:rsidRPr="008A3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0156" w:rsidRPr="008A3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="009A0156" w:rsidRPr="008A3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3" w:history="1">
        <w:r w:rsidR="009A0156" w:rsidRPr="008A3B51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9A0156" w:rsidRPr="008A3B51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A0156" w:rsidRPr="008A3B51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consultant</w:t>
        </w:r>
        <w:r w:rsidR="009A0156" w:rsidRPr="008A3B51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A0156" w:rsidRPr="008A3B51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Приказ Минфина России от 02.07.2010 № 66н (ред. от 06.03.2018) «О формах бухгалтерской отчетности организаций» (Зарегистрировано в Минюсте России 02.08.2010 №18023) </w:t>
      </w: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URL</w:t>
      </w: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hyperlink r:id="rId24" w:history="1"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www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consultant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ru</w:t>
        </w:r>
      </w:hyperlink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Приказ Минфина РФ от 31.10.2000 №94н «Об утверждении Плана счетов бухгалтерского учета финансово-хозяйственной деятельности организаций и Инструкции по его применению» (с изм. от 08.11.2010) </w:t>
      </w:r>
      <w:r w:rsidRPr="008A3B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8A3B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5" w:history="1">
        <w:r w:rsidRPr="008A3B51">
          <w:rPr>
            <w:rStyle w:val="af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www</w:t>
        </w:r>
        <w:r w:rsidRPr="008A3B51">
          <w:rPr>
            <w:rStyle w:val="af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8A3B51">
          <w:rPr>
            <w:rStyle w:val="af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consultant</w:t>
        </w:r>
        <w:r w:rsidRPr="008A3B51">
          <w:rPr>
            <w:rStyle w:val="af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8A3B51">
          <w:rPr>
            <w:rStyle w:val="af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</w:hyperlink>
      <w:r w:rsidRPr="008A3B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A0156" w:rsidRPr="008A3B51" w:rsidRDefault="009A0156" w:rsidP="009A0156">
      <w:pPr>
        <w:pStyle w:val="a7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Приказ Минфина России от 28.12.2015 №217н (ред. от 11.07.2016) «О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(отдельных положений приказов) Министерства финансов Российской Федерации» (Зарегистрировано в Минюсте России 02.02.2016 N 40940) </w:t>
      </w: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URL</w:t>
      </w:r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hyperlink r:id="rId26" w:history="1"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www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consultant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r w:rsidRPr="008A3B51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ru</w:t>
        </w:r>
      </w:hyperlink>
      <w:r w:rsidRPr="008A3B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9A0156" w:rsidRPr="00352F1E" w:rsidRDefault="009A0156" w:rsidP="00352F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A0156" w:rsidRPr="00352F1E" w:rsidSect="00DA273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footnotePr>
        <w:numRestart w:val="eachPage"/>
      </w:footnotePr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6C" w:rsidRDefault="00ED476C" w:rsidP="00042E85">
      <w:pPr>
        <w:spacing w:after="0" w:line="240" w:lineRule="auto"/>
      </w:pPr>
      <w:r>
        <w:separator/>
      </w:r>
    </w:p>
  </w:endnote>
  <w:endnote w:type="continuationSeparator" w:id="0">
    <w:p w:rsidR="00ED476C" w:rsidRDefault="00ED476C" w:rsidP="0004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4E" w:rsidRDefault="0012014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506611"/>
      <w:docPartObj>
        <w:docPartGallery w:val="Page Numbers (Bottom of Page)"/>
        <w:docPartUnique/>
      </w:docPartObj>
    </w:sdtPr>
    <w:sdtEndPr/>
    <w:sdtContent>
      <w:p w:rsidR="00DA2732" w:rsidRDefault="0012014E">
        <w:pPr>
          <w:pStyle w:val="af2"/>
          <w:jc w:val="center"/>
        </w:pPr>
        <w:r>
          <w:t>1</w:t>
        </w:r>
        <w:r w:rsidR="00DA2732">
          <w:fldChar w:fldCharType="begin"/>
        </w:r>
        <w:r w:rsidR="00DA2732">
          <w:instrText>PAGE   \* MERGEFORMAT</w:instrText>
        </w:r>
        <w:r w:rsidR="00DA2732">
          <w:fldChar w:fldCharType="separate"/>
        </w:r>
        <w:r>
          <w:rPr>
            <w:noProof/>
          </w:rPr>
          <w:t>5</w:t>
        </w:r>
        <w:r w:rsidR="00DA2732">
          <w:fldChar w:fldCharType="end"/>
        </w:r>
      </w:p>
    </w:sdtContent>
  </w:sdt>
  <w:p w:rsidR="00DA2732" w:rsidRDefault="00DA273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4E" w:rsidRDefault="0012014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6C" w:rsidRDefault="00ED476C" w:rsidP="00042E85">
      <w:pPr>
        <w:spacing w:after="0" w:line="240" w:lineRule="auto"/>
      </w:pPr>
      <w:r>
        <w:separator/>
      </w:r>
    </w:p>
  </w:footnote>
  <w:footnote w:type="continuationSeparator" w:id="0">
    <w:p w:rsidR="00ED476C" w:rsidRDefault="00ED476C" w:rsidP="00042E85">
      <w:pPr>
        <w:spacing w:after="0" w:line="240" w:lineRule="auto"/>
      </w:pPr>
      <w:r>
        <w:continuationSeparator/>
      </w:r>
    </w:p>
  </w:footnote>
  <w:footnote w:id="1">
    <w:p w:rsidR="00FA2AB9" w:rsidRDefault="00FA2AB9" w:rsidP="00042E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Справочник ОКВЭД 2019 с расшифровкой кодов [Электронный ресурс]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42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.код-оквэд.рф</w:t>
      </w:r>
    </w:p>
  </w:footnote>
  <w:footnote w:id="2">
    <w:p w:rsidR="00FA2AB9" w:rsidRDefault="00FA2AB9" w:rsidP="0003673F">
      <w:pPr>
        <w:pStyle w:val="a7"/>
      </w:pPr>
      <w:r>
        <w:rPr>
          <w:rStyle w:val="a9"/>
        </w:rPr>
        <w:footnoteRef/>
      </w:r>
      <w:r>
        <w:t xml:space="preserve"> </w:t>
      </w:r>
      <w:r w:rsidRPr="0004586F">
        <w:rPr>
          <w:rFonts w:ascii="Times New Roman" w:hAnsi="Times New Roman" w:cs="Times New Roman"/>
          <w:sz w:val="24"/>
          <w:szCs w:val="24"/>
        </w:rPr>
        <w:t>Дыбаль С.А., Дыбаль М.А. Финансовый анализ: теория и практика / С.А. Дыбаль, М.А. Дыбаль. – М.: КноРус. – 2018. – 325 с.</w:t>
      </w:r>
    </w:p>
  </w:footnote>
  <w:footnote w:id="3">
    <w:p w:rsidR="00FA2AB9" w:rsidRPr="00EA5F33" w:rsidRDefault="00FA2AB9" w:rsidP="00036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A5F3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A5F33">
        <w:rPr>
          <w:rFonts w:ascii="Times New Roman" w:hAnsi="Times New Roman" w:cs="Times New Roman"/>
          <w:sz w:val="24"/>
          <w:szCs w:val="24"/>
        </w:rPr>
        <w:t xml:space="preserve"> Едронова В.Н., Мизиковский Е.А. Учет, оценка доходности и анализ вложений / В.Н. Едронова, Е.А. Мизиковский. – М.: Магистр. – 2013. </w:t>
      </w:r>
      <w:r w:rsidRPr="00EA5F33">
        <w:rPr>
          <w:rFonts w:ascii="Times New Roman" w:hAnsi="Times New Roman" w:cs="Times New Roman"/>
          <w:sz w:val="24"/>
          <w:szCs w:val="24"/>
        </w:rPr>
        <w:softHyphen/>
        <w:t>– 368 с.</w:t>
      </w:r>
    </w:p>
  </w:footnote>
  <w:footnote w:id="4">
    <w:p w:rsidR="00FA2AB9" w:rsidRDefault="00FA2AB9" w:rsidP="0003673F">
      <w:pPr>
        <w:pStyle w:val="a7"/>
      </w:pPr>
      <w:r w:rsidRPr="00EA5F3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A5F33">
        <w:rPr>
          <w:rFonts w:ascii="Times New Roman" w:hAnsi="Times New Roman" w:cs="Times New Roman"/>
          <w:sz w:val="24"/>
          <w:szCs w:val="24"/>
        </w:rPr>
        <w:t xml:space="preserve"> Там же</w:t>
      </w:r>
    </w:p>
  </w:footnote>
  <w:footnote w:id="5">
    <w:p w:rsidR="00FA2AB9" w:rsidRPr="00F73FE4" w:rsidRDefault="00FA2AB9" w:rsidP="0003673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FE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73FE4">
        <w:rPr>
          <w:rFonts w:ascii="Times New Roman" w:hAnsi="Times New Roman" w:cs="Times New Roman"/>
          <w:sz w:val="24"/>
          <w:szCs w:val="24"/>
        </w:rPr>
        <w:t xml:space="preserve"> Кругляк З.И., Калинская М.В. Налоговый учет и отчетность в современных условиях / З.И. Кругляк, М.В. Калинская. – М.: Инфра-М. – 2015. – 352 с.</w:t>
      </w:r>
    </w:p>
  </w:footnote>
  <w:footnote w:id="6">
    <w:p w:rsidR="00FA2AB9" w:rsidRPr="00F73FE4" w:rsidRDefault="00FA2AB9" w:rsidP="0003673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FE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73FE4">
        <w:rPr>
          <w:rFonts w:ascii="Times New Roman" w:hAnsi="Times New Roman" w:cs="Times New Roman"/>
          <w:sz w:val="24"/>
          <w:szCs w:val="24"/>
        </w:rPr>
        <w:t xml:space="preserve"> Федеральный закон «О бухгалтерском учете» от 06.12.2011 №402-ФЗ (с изм. от 28.11.2018 №444-ФЗ </w:t>
      </w:r>
      <w:r w:rsidRPr="00F73FE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73FE4">
        <w:rPr>
          <w:rFonts w:ascii="Times New Roman" w:hAnsi="Times New Roman" w:cs="Times New Roman"/>
          <w:sz w:val="24"/>
          <w:szCs w:val="24"/>
        </w:rPr>
        <w:t xml:space="preserve"> </w:t>
      </w:r>
      <w:r w:rsidRPr="00F73FE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73FE4">
        <w:rPr>
          <w:rFonts w:ascii="Times New Roman" w:hAnsi="Times New Roman" w:cs="Times New Roman"/>
          <w:sz w:val="24"/>
          <w:szCs w:val="24"/>
        </w:rPr>
        <w:t>.</w:t>
      </w:r>
      <w:r w:rsidRPr="00F73FE4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F73FE4">
        <w:rPr>
          <w:rFonts w:ascii="Times New Roman" w:hAnsi="Times New Roman" w:cs="Times New Roman"/>
          <w:sz w:val="24"/>
          <w:szCs w:val="24"/>
        </w:rPr>
        <w:t>.</w:t>
      </w:r>
      <w:r w:rsidRPr="00F73FE4">
        <w:rPr>
          <w:rFonts w:ascii="Times New Roman" w:hAnsi="Times New Roman" w:cs="Times New Roman"/>
          <w:sz w:val="24"/>
          <w:szCs w:val="24"/>
          <w:lang w:val="en-US"/>
        </w:rPr>
        <w:t>ru</w:t>
      </w:r>
    </w:p>
  </w:footnote>
  <w:footnote w:id="7">
    <w:p w:rsidR="00FA2AB9" w:rsidRPr="00F73FE4" w:rsidRDefault="00FA2AB9" w:rsidP="0003673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FE4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F73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3F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Приказ Минфина России от 06.05.1999 №32н (c изм. от 06.04.2015) «Об утверждении Положения по бухгалтерскому учету «Доходы организации» ПБУ 9/99» (Зарегистрировано в Минюсте России 31.05.1999 №1791) </w:t>
      </w:r>
      <w:r w:rsidRPr="00F73F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ru-RU"/>
        </w:rPr>
        <w:t>URL</w:t>
      </w:r>
      <w:r w:rsidRPr="00F73F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73F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ru-RU"/>
        </w:rPr>
        <w:t>www</w:t>
      </w:r>
      <w:r w:rsidRPr="00F73F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F73F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ru-RU"/>
        </w:rPr>
        <w:t>consultant</w:t>
      </w:r>
      <w:r w:rsidRPr="00F73F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F73F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ru-RU"/>
        </w:rPr>
        <w:t>ru</w:t>
      </w:r>
    </w:p>
  </w:footnote>
  <w:footnote w:id="8">
    <w:p w:rsidR="00FA2AB9" w:rsidRPr="00F73FE4" w:rsidRDefault="00FA2AB9" w:rsidP="007C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FE4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F73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" w:history="1">
        <w:r w:rsidRPr="00F73FE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lang w:eastAsia="ru-RU"/>
          </w:rPr>
          <w:t>Приказ Минфина России от 06.05.1999 №33н (с изм. от 06.04.2015) «Об утверждении Положения по бухгалтерскому учету «Расходы организации» ПБУ 10/99» (Зарегистрировано в Минюсте России 31.05.1999 №1790)</w:t>
        </w:r>
      </w:hyperlink>
      <w:r w:rsidRPr="00F7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7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URL</w:t>
      </w:r>
      <w:r w:rsidRPr="00F7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7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www</w:t>
      </w:r>
      <w:r w:rsidRPr="00F7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7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consultant</w:t>
      </w:r>
      <w:r w:rsidRPr="00F7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7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</w:p>
  </w:footnote>
  <w:footnote w:id="9">
    <w:p w:rsidR="00FA2AB9" w:rsidRPr="008F724A" w:rsidRDefault="00FA2AB9" w:rsidP="007C6DA2">
      <w:pPr>
        <w:pStyle w:val="a7"/>
        <w:contextualSpacing/>
        <w:jc w:val="both"/>
      </w:pPr>
      <w:r w:rsidRPr="00F73FE4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F73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3FE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иказ Минфина РФ от 31.10.2000 №94н «</w:t>
      </w:r>
      <w:r w:rsidRPr="00F73FE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 утверждении Плана счетов бухгалтерского учета финансово-хозяйственной деятельности организаций и Инструкции по его применению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 w:rsidRPr="008F724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(с изм. от 08.11.2010)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URL</w:t>
      </w:r>
      <w:r w:rsidRPr="008F724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www</w:t>
      </w:r>
      <w:r w:rsidRPr="008F724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consultant</w:t>
      </w:r>
      <w:r w:rsidRPr="008F724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ru</w:t>
      </w:r>
    </w:p>
  </w:footnote>
  <w:footnote w:id="10">
    <w:p w:rsidR="00FA2AB9" w:rsidRPr="009F35F0" w:rsidRDefault="00FA2AB9" w:rsidP="00036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F35F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F35F0">
        <w:rPr>
          <w:rFonts w:ascii="Times New Roman" w:hAnsi="Times New Roman" w:cs="Times New Roman"/>
          <w:sz w:val="24"/>
          <w:szCs w:val="24"/>
        </w:rPr>
        <w:t xml:space="preserve"> Брыкова Н.В. Основы бухгалтерского учета на предприятиях торговли / Н.В. Брыкова. – М.: </w:t>
      </w:r>
      <w:r w:rsidRPr="009F35F0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Pr="009F35F0">
        <w:rPr>
          <w:rFonts w:ascii="Times New Roman" w:hAnsi="Times New Roman" w:cs="Times New Roman"/>
          <w:sz w:val="24"/>
          <w:szCs w:val="24"/>
        </w:rPr>
        <w:t>. – 2015. – 144 с.</w:t>
      </w:r>
    </w:p>
  </w:footnote>
  <w:footnote w:id="11">
    <w:p w:rsidR="00FA2AB9" w:rsidRPr="00AD5559" w:rsidRDefault="00FA2AB9" w:rsidP="00036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D555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D5559">
        <w:rPr>
          <w:rFonts w:ascii="Times New Roman" w:hAnsi="Times New Roman" w:cs="Times New Roman"/>
          <w:sz w:val="24"/>
          <w:szCs w:val="24"/>
        </w:rPr>
        <w:t xml:space="preserve"> </w:t>
      </w:r>
      <w:r w:rsidR="009A0156">
        <w:rPr>
          <w:rFonts w:ascii="Times New Roman" w:hAnsi="Times New Roman" w:cs="Times New Roman"/>
          <w:sz w:val="24"/>
          <w:szCs w:val="24"/>
        </w:rPr>
        <w:t>Там же</w:t>
      </w:r>
    </w:p>
  </w:footnote>
  <w:footnote w:id="12">
    <w:p w:rsidR="00FA2AB9" w:rsidRPr="00BE50BB" w:rsidRDefault="00FA2AB9" w:rsidP="007C6DA2">
      <w:pPr>
        <w:pStyle w:val="1"/>
        <w:shd w:val="clear" w:color="auto" w:fill="FFFFFF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E50B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Приказ Минфина России от 02.07.2010 № 66н (ред. от 06.03.2018) «О формах бухгалтерской отчетности организаций» (Зарегистрировано в Минюсте России 02.08.2010 №18023) 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www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consultant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ru</w:t>
      </w:r>
    </w:p>
  </w:footnote>
  <w:footnote w:id="13">
    <w:p w:rsidR="00FA2AB9" w:rsidRPr="00633D0C" w:rsidRDefault="00FA2AB9" w:rsidP="007C6DA2">
      <w:pPr>
        <w:pStyle w:val="a7"/>
        <w:contextualSpacing/>
        <w:jc w:val="both"/>
        <w:rPr>
          <w:rFonts w:ascii="Times New Roman" w:hAnsi="Times New Roman" w:cs="Times New Roman"/>
        </w:rPr>
      </w:pPr>
      <w:r w:rsidRPr="00BE50BB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BE50BB">
        <w:rPr>
          <w:rFonts w:ascii="Times New Roman" w:hAnsi="Times New Roman" w:cs="Times New Roman"/>
          <w:color w:val="000000" w:themeColor="text1"/>
        </w:rPr>
        <w:t xml:space="preserve"> 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Федеральный закон «Об инновационном центре «Сколково» от 28.09.2010 N 244-ФЗ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www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consultant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ru</w:t>
      </w:r>
    </w:p>
  </w:footnote>
  <w:footnote w:id="14">
    <w:p w:rsidR="00FA2AB9" w:rsidRPr="00BE50BB" w:rsidRDefault="00FA2AB9" w:rsidP="0003673F">
      <w:pPr>
        <w:pStyle w:val="1"/>
        <w:shd w:val="clear" w:color="auto" w:fill="FFFFFF"/>
        <w:spacing w:before="0" w:after="144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A846A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A846A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Постановление Правительства РФ от 25.02.2011 №107 (ред. от 26.08.2013)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www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consultant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ru</w:t>
      </w:r>
    </w:p>
  </w:footnote>
  <w:footnote w:id="15">
    <w:p w:rsidR="00FA2AB9" w:rsidRPr="00167124" w:rsidRDefault="00FA2AB9" w:rsidP="0003673F">
      <w:pPr>
        <w:pStyle w:val="1"/>
        <w:shd w:val="clear" w:color="auto" w:fill="FFFFFF"/>
        <w:spacing w:before="0" w:after="144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A846A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A846A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Минфина России от 28.12.2015 №</w:t>
      </w:r>
      <w:r w:rsidRPr="00A846A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217н (ред. от 11.07.2016)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«</w:t>
      </w:r>
      <w:r w:rsidRPr="00A846A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(отдельных положений приказов) Министерства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финансов Российской Федерации»</w:t>
      </w:r>
      <w:r w:rsidRPr="00A846A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(Зарегистрировано в Минюсте России 02.02.2016 N 40940)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www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consultant</w:t>
      </w:r>
      <w:r w:rsidRPr="00BE5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ru</w:t>
      </w:r>
    </w:p>
  </w:footnote>
  <w:footnote w:id="16">
    <w:p w:rsidR="00FA2AB9" w:rsidRPr="00BE50BB" w:rsidRDefault="00FA2AB9" w:rsidP="0003673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(</w:t>
      </w: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 w:rsidRPr="00BE50B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E5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E5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BE5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</w:footnote>
  <w:footnote w:id="17">
    <w:p w:rsidR="00FA2AB9" w:rsidRPr="00991690" w:rsidRDefault="00FA2AB9" w:rsidP="00042E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1690">
        <w:rPr>
          <w:rStyle w:val="a9"/>
          <w:szCs w:val="24"/>
        </w:rPr>
        <w:footnoteRef/>
      </w:r>
      <w:r w:rsidRPr="00991690">
        <w:rPr>
          <w:rFonts w:ascii="Times New Roman" w:hAnsi="Times New Roman" w:cs="Times New Roman"/>
          <w:sz w:val="24"/>
          <w:szCs w:val="24"/>
        </w:rPr>
        <w:t xml:space="preserve"> Пласкова Н.С. Финансовый анализ деятельности организации / Н.С. Пласкова. – М.: Инфра-М. – 2017. – 368 с.</w:t>
      </w:r>
    </w:p>
  </w:footnote>
  <w:footnote w:id="18">
    <w:p w:rsidR="00FA2AB9" w:rsidRPr="00991690" w:rsidRDefault="00FA2AB9" w:rsidP="00042E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1690">
        <w:rPr>
          <w:rStyle w:val="a9"/>
          <w:szCs w:val="24"/>
        </w:rPr>
        <w:footnoteRef/>
      </w:r>
      <w:r w:rsidRPr="00991690">
        <w:rPr>
          <w:rFonts w:ascii="Times New Roman" w:hAnsi="Times New Roman" w:cs="Times New Roman"/>
          <w:sz w:val="24"/>
          <w:szCs w:val="24"/>
        </w:rPr>
        <w:t xml:space="preserve"> Ефимова О.В.,  Мельник М.В. Анализ финансовой отчетности / О.В Ефимова, М.В. Мельник, Е.И. Бородина. – М.: Омега-Л. – 2012. – 400 с</w:t>
      </w:r>
    </w:p>
  </w:footnote>
  <w:footnote w:id="19">
    <w:p w:rsidR="00FA2AB9" w:rsidRPr="00991690" w:rsidRDefault="00FA2AB9" w:rsidP="00042E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1690">
        <w:rPr>
          <w:rStyle w:val="a9"/>
          <w:szCs w:val="24"/>
        </w:rPr>
        <w:footnoteRef/>
      </w:r>
      <w:r w:rsidRPr="00991690">
        <w:rPr>
          <w:rFonts w:ascii="Times New Roman" w:hAnsi="Times New Roman" w:cs="Times New Roman"/>
          <w:sz w:val="24"/>
          <w:szCs w:val="24"/>
        </w:rPr>
        <w:t xml:space="preserve"> Ефимова О.В.,  Мельник М.В. Анализ финансовой отчетности / О.В Ефимова, М.В. Мельник, Е.И. Бородина. – М.: Омега-Л. – 2012. – 400 с</w:t>
      </w:r>
    </w:p>
    <w:p w:rsidR="00FA2AB9" w:rsidRDefault="00FA2AB9" w:rsidP="00042E85">
      <w:pPr>
        <w:pStyle w:val="a7"/>
      </w:pPr>
    </w:p>
  </w:footnote>
  <w:footnote w:id="20">
    <w:p w:rsidR="00FA2AB9" w:rsidRPr="0012520B" w:rsidRDefault="00FA2AB9" w:rsidP="00042E8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520B">
        <w:rPr>
          <w:rStyle w:val="a9"/>
          <w:szCs w:val="24"/>
        </w:rPr>
        <w:footnoteRef/>
      </w:r>
      <w:r w:rsidRPr="0012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Бухгалтерская отчетность ООО «КДС» и ООО «Квадрат» </w:t>
      </w:r>
      <w:r w:rsidRPr="00856F1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56F1F">
        <w:rPr>
          <w:rFonts w:ascii="Times New Roman" w:hAnsi="Times New Roman" w:cs="Times New Roman"/>
          <w:sz w:val="24"/>
          <w:szCs w:val="24"/>
        </w:rPr>
        <w:t xml:space="preserve">] </w:t>
      </w:r>
      <w:r w:rsidRPr="0099169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91690">
        <w:rPr>
          <w:rFonts w:ascii="Times New Roman" w:hAnsi="Times New Roman" w:cs="Times New Roman"/>
          <w:sz w:val="24"/>
          <w:szCs w:val="24"/>
        </w:rPr>
        <w:t xml:space="preserve"> </w:t>
      </w:r>
      <w:r w:rsidRPr="0099169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91690">
        <w:rPr>
          <w:rFonts w:ascii="Times New Roman" w:hAnsi="Times New Roman" w:cs="Times New Roman"/>
          <w:sz w:val="24"/>
          <w:szCs w:val="24"/>
        </w:rPr>
        <w:t>://</w:t>
      </w:r>
      <w:r w:rsidRPr="00991690">
        <w:rPr>
          <w:rFonts w:ascii="Times New Roman" w:hAnsi="Times New Roman" w:cs="Times New Roman"/>
          <w:sz w:val="24"/>
          <w:szCs w:val="24"/>
          <w:lang w:val="en-US"/>
        </w:rPr>
        <w:t>zachestnyibiznes</w:t>
      </w:r>
      <w:r w:rsidRPr="00991690">
        <w:rPr>
          <w:rFonts w:ascii="Times New Roman" w:hAnsi="Times New Roman" w:cs="Times New Roman"/>
          <w:sz w:val="24"/>
          <w:szCs w:val="24"/>
        </w:rPr>
        <w:t>.</w:t>
      </w:r>
      <w:r w:rsidRPr="00991690">
        <w:rPr>
          <w:rFonts w:ascii="Times New Roman" w:hAnsi="Times New Roman" w:cs="Times New Roman"/>
          <w:sz w:val="24"/>
          <w:szCs w:val="24"/>
          <w:lang w:val="en-US"/>
        </w:rPr>
        <w:t>ru</w:t>
      </w:r>
    </w:p>
  </w:footnote>
  <w:footnote w:id="21">
    <w:p w:rsidR="00FA2AB9" w:rsidRPr="00A1440F" w:rsidRDefault="00FA2AB9" w:rsidP="00036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1440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1440F">
        <w:rPr>
          <w:rFonts w:ascii="Times New Roman" w:hAnsi="Times New Roman" w:cs="Times New Roman"/>
          <w:sz w:val="24"/>
          <w:szCs w:val="24"/>
        </w:rPr>
        <w:t xml:space="preserve"> Кондратьев В.С. Финансово-хозяйственная деятельность организации / В.С. Кондратьев. – Р-н/Д.: Феникс. – 2018. – 287 с.</w:t>
      </w:r>
    </w:p>
  </w:footnote>
  <w:footnote w:id="22">
    <w:p w:rsidR="00FA2AB9" w:rsidRDefault="00FA2AB9" w:rsidP="0003673F">
      <w:pPr>
        <w:pStyle w:val="a7"/>
        <w:jc w:val="both"/>
      </w:pPr>
      <w:r>
        <w:rPr>
          <w:rStyle w:val="a9"/>
        </w:rPr>
        <w:footnoteRef/>
      </w:r>
      <w:r w:rsidRPr="00A1440F">
        <w:rPr>
          <w:rFonts w:ascii="Times New Roman" w:hAnsi="Times New Roman" w:cs="Times New Roman"/>
          <w:sz w:val="24"/>
          <w:szCs w:val="24"/>
        </w:rPr>
        <w:t>Кондратьев В.С. Финансово-хозяйственная деятельность организации / В.С. Кондратьев. – Р-н/Д.: Феникс. – 2018. – 287 с.</w:t>
      </w:r>
    </w:p>
  </w:footnote>
  <w:footnote w:id="23">
    <w:p w:rsidR="00FA2AB9" w:rsidRPr="00A1440F" w:rsidRDefault="00FA2AB9" w:rsidP="00036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A1440F">
        <w:rPr>
          <w:rFonts w:ascii="Times New Roman" w:hAnsi="Times New Roman" w:cs="Times New Roman"/>
          <w:sz w:val="24"/>
          <w:szCs w:val="24"/>
        </w:rPr>
        <w:t>Кондратьев В.С. Финансово-хозяйственная деятельность организации / В.С. Кондратьев. – Р-н/Д.: Феникс. – 2018. – 287 с.</w:t>
      </w:r>
    </w:p>
    <w:p w:rsidR="00FA2AB9" w:rsidRDefault="00FA2AB9" w:rsidP="0003673F">
      <w:pPr>
        <w:pStyle w:val="a7"/>
      </w:pPr>
    </w:p>
  </w:footnote>
  <w:footnote w:id="24">
    <w:p w:rsidR="00FA2AB9" w:rsidRPr="00A73719" w:rsidRDefault="00FA2AB9" w:rsidP="00036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371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73719">
        <w:rPr>
          <w:rFonts w:ascii="Times New Roman" w:hAnsi="Times New Roman" w:cs="Times New Roman"/>
          <w:sz w:val="24"/>
          <w:szCs w:val="24"/>
        </w:rPr>
        <w:t xml:space="preserve"> Кондратьев В.С. Финансово-хозяйственная деятельность организации / В.С. Кондратьев. – Р-н/Д.: Феникс. – 2018. – 287 с.</w:t>
      </w:r>
    </w:p>
  </w:footnote>
  <w:footnote w:id="25">
    <w:p w:rsidR="00FA2AB9" w:rsidRDefault="00FA2AB9" w:rsidP="0003673F">
      <w:pPr>
        <w:pStyle w:val="a7"/>
      </w:pPr>
      <w:r w:rsidRPr="00A7371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73719">
        <w:rPr>
          <w:rFonts w:ascii="Times New Roman" w:hAnsi="Times New Roman" w:cs="Times New Roman"/>
          <w:sz w:val="24"/>
          <w:szCs w:val="24"/>
        </w:rPr>
        <w:t xml:space="preserve"> Там же</w:t>
      </w:r>
    </w:p>
  </w:footnote>
  <w:footnote w:id="26">
    <w:p w:rsidR="00FA2AB9" w:rsidRPr="00A73719" w:rsidRDefault="00FA2AB9" w:rsidP="00036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371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="009A0156">
        <w:rPr>
          <w:rFonts w:ascii="Times New Roman" w:hAnsi="Times New Roman" w:cs="Times New Roman"/>
          <w:sz w:val="24"/>
          <w:szCs w:val="24"/>
        </w:rPr>
        <w:t xml:space="preserve"> Там же</w:t>
      </w:r>
    </w:p>
  </w:footnote>
  <w:footnote w:id="27">
    <w:p w:rsidR="00FA2AB9" w:rsidRDefault="00FA2AB9" w:rsidP="0003673F">
      <w:pPr>
        <w:pStyle w:val="a7"/>
      </w:pPr>
      <w:r w:rsidRPr="00A7371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73719">
        <w:rPr>
          <w:rFonts w:ascii="Times New Roman" w:hAnsi="Times New Roman" w:cs="Times New Roman"/>
          <w:sz w:val="24"/>
          <w:szCs w:val="24"/>
        </w:rPr>
        <w:t xml:space="preserve"> Там же</w:t>
      </w:r>
    </w:p>
  </w:footnote>
  <w:footnote w:id="28">
    <w:p w:rsidR="00FA2AB9" w:rsidRPr="00800FA8" w:rsidRDefault="00FA2AB9" w:rsidP="0003673F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FA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00FA8">
        <w:rPr>
          <w:rFonts w:ascii="Times New Roman" w:hAnsi="Times New Roman" w:cs="Times New Roman"/>
          <w:sz w:val="24"/>
          <w:szCs w:val="24"/>
        </w:rPr>
        <w:t xml:space="preserve"> Павлов А.С. Экономика строительства / А.С. Павлов. – М.: Юрайт. – 2017. – 364 с.</w:t>
      </w:r>
    </w:p>
  </w:footnote>
  <w:footnote w:id="29">
    <w:p w:rsidR="00FA2AB9" w:rsidRPr="00B51F6F" w:rsidRDefault="00FA2AB9" w:rsidP="0003673F">
      <w:pPr>
        <w:pStyle w:val="a7"/>
        <w:rPr>
          <w:rFonts w:ascii="Times New Roman" w:hAnsi="Times New Roman" w:cs="Times New Roman"/>
          <w:sz w:val="24"/>
          <w:szCs w:val="24"/>
        </w:rPr>
      </w:pPr>
      <w:r w:rsidRPr="00B51F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51F6F">
        <w:rPr>
          <w:rFonts w:ascii="Times New Roman" w:hAnsi="Times New Roman" w:cs="Times New Roman"/>
          <w:sz w:val="24"/>
          <w:szCs w:val="24"/>
        </w:rPr>
        <w:t xml:space="preserve"> Павлов А.С. Экономика строительства / А.С. Павлов. – М.: Юрайт. – 2017. – 364 с.</w:t>
      </w:r>
    </w:p>
  </w:footnote>
  <w:footnote w:id="30">
    <w:p w:rsidR="00FA2AB9" w:rsidRDefault="00FA2AB9" w:rsidP="0003673F">
      <w:pPr>
        <w:pStyle w:val="a7"/>
      </w:pPr>
      <w:r w:rsidRPr="00B51F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51F6F">
        <w:rPr>
          <w:rFonts w:ascii="Times New Roman" w:hAnsi="Times New Roman" w:cs="Times New Roman"/>
          <w:sz w:val="24"/>
          <w:szCs w:val="24"/>
        </w:rPr>
        <w:t xml:space="preserve"> Там же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4E" w:rsidRDefault="0012014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4E" w:rsidRDefault="0012014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4E" w:rsidRDefault="001201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9011A"/>
    <w:multiLevelType w:val="hybridMultilevel"/>
    <w:tmpl w:val="B434DA3C"/>
    <w:lvl w:ilvl="0" w:tplc="696A7A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304C28"/>
    <w:multiLevelType w:val="hybridMultilevel"/>
    <w:tmpl w:val="2FD6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03"/>
    <w:rsid w:val="0003673F"/>
    <w:rsid w:val="00042E85"/>
    <w:rsid w:val="0012014E"/>
    <w:rsid w:val="00263B95"/>
    <w:rsid w:val="002C00E8"/>
    <w:rsid w:val="00352F1E"/>
    <w:rsid w:val="006476B4"/>
    <w:rsid w:val="006D4F6E"/>
    <w:rsid w:val="007C6DA2"/>
    <w:rsid w:val="009A0156"/>
    <w:rsid w:val="00BC2440"/>
    <w:rsid w:val="00CF244E"/>
    <w:rsid w:val="00D46352"/>
    <w:rsid w:val="00DA2732"/>
    <w:rsid w:val="00ED476C"/>
    <w:rsid w:val="00F75503"/>
    <w:rsid w:val="00FA15ED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6ADF6-F79A-4F26-A8ED-11F978F4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73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2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CF24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F24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F244E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042E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42E8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42E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4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E85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042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42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6">
    <w:name w:val="p16"/>
    <w:basedOn w:val="a"/>
    <w:rsid w:val="0003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3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3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3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73F"/>
  </w:style>
  <w:style w:type="character" w:customStyle="1" w:styleId="s6">
    <w:name w:val="s6"/>
    <w:basedOn w:val="a0"/>
    <w:rsid w:val="0003673F"/>
  </w:style>
  <w:style w:type="paragraph" w:customStyle="1" w:styleId="p20">
    <w:name w:val="p20"/>
    <w:basedOn w:val="a"/>
    <w:rsid w:val="0003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3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3673F"/>
  </w:style>
  <w:style w:type="character" w:customStyle="1" w:styleId="s7">
    <w:name w:val="s7"/>
    <w:basedOn w:val="a0"/>
    <w:rsid w:val="0003673F"/>
  </w:style>
  <w:style w:type="paragraph" w:customStyle="1" w:styleId="p11">
    <w:name w:val="p11"/>
    <w:basedOn w:val="a"/>
    <w:rsid w:val="0003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3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7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Hyperlink"/>
    <w:basedOn w:val="a0"/>
    <w:uiPriority w:val="99"/>
    <w:unhideWhenUsed/>
    <w:rsid w:val="009A0156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DA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A2732"/>
  </w:style>
  <w:style w:type="paragraph" w:styleId="af2">
    <w:name w:val="footer"/>
    <w:basedOn w:val="a"/>
    <w:link w:val="af3"/>
    <w:uiPriority w:val="99"/>
    <w:unhideWhenUsed/>
    <w:rsid w:val="00DA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A2732"/>
  </w:style>
  <w:style w:type="character" w:customStyle="1" w:styleId="20">
    <w:name w:val="Заголовок 2 Знак"/>
    <w:basedOn w:val="a0"/>
    <w:link w:val="2"/>
    <w:uiPriority w:val="9"/>
    <w:rsid w:val="00DA2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TOC Heading"/>
    <w:basedOn w:val="1"/>
    <w:next w:val="a"/>
    <w:uiPriority w:val="39"/>
    <w:semiHidden/>
    <w:unhideWhenUsed/>
    <w:qFormat/>
    <w:rsid w:val="00DA2732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273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paragraph" w:styleId="af5">
    <w:name w:val="endnote text"/>
    <w:basedOn w:val="a"/>
    <w:link w:val="af6"/>
    <w:uiPriority w:val="99"/>
    <w:semiHidden/>
    <w:unhideWhenUsed/>
    <w:rsid w:val="0012014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2014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20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www.&#1082;&#1086;&#1076;-&#1086;&#1082;&#1074;&#1101;&#1076;.&#1088;&#1092;" TargetMode="External"/><Relationship Id="rId25" Type="http://schemas.openxmlformats.org/officeDocument/2006/relationships/hyperlink" Target="http://www.consultant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www.consultant.ru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zachestnyibiznes.ru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hyperlink" Target="http://www.consultant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://www.consultant.ru/document/cons_doc_LAW_12508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12508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01953818827708"/>
          <c:y val="6.9620253164556958E-2"/>
          <c:w val="0.50799289520426283"/>
          <c:h val="0.8037974683544303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Динамика валюты баланса</c:v>
                </c:pt>
              </c:strCache>
            </c:strRef>
          </c:tx>
          <c:spPr>
            <a:ln w="13343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Sheet1!$B$1:$D$1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7158</c:v>
                </c:pt>
                <c:pt idx="1">
                  <c:v>21447</c:v>
                </c:pt>
                <c:pt idx="2">
                  <c:v>22790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4824824"/>
        <c:axId val="574825608"/>
      </c:lineChart>
      <c:catAx>
        <c:axId val="574824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4825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4825608"/>
        <c:scaling>
          <c:orientation val="minMax"/>
        </c:scaling>
        <c:delete val="0"/>
        <c:axPos val="l"/>
        <c:majorGridlines>
          <c:spPr>
            <a:ln w="33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4824824"/>
        <c:crosses val="autoZero"/>
        <c:crossBetween val="midCat"/>
      </c:valAx>
      <c:spPr>
        <a:solidFill>
          <a:srgbClr val="C0C0C0"/>
        </a:solidFill>
        <a:ln w="26686">
          <a:noFill/>
        </a:ln>
      </c:spPr>
    </c:plotArea>
    <c:legend>
      <c:legendPos val="r"/>
      <c:layout>
        <c:manualLayout>
          <c:xMode val="edge"/>
          <c:yMode val="edge"/>
          <c:x val="0.65719360568383656"/>
          <c:y val="0.43354430379746833"/>
          <c:w val="0.33570159857904086"/>
          <c:h val="6.9620253164556958E-2"/>
        </c:manualLayout>
      </c:layout>
      <c:overlay val="0"/>
      <c:spPr>
        <a:noFill/>
        <a:ln w="3336">
          <a:solidFill>
            <a:srgbClr val="000000"/>
          </a:solidFill>
          <a:prstDash val="solid"/>
        </a:ln>
      </c:spPr>
      <c:txPr>
        <a:bodyPr/>
        <a:lstStyle/>
        <a:p>
          <a:pPr>
            <a:defRPr sz="9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6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76007677543186"/>
          <c:y val="8.5603112840466927E-2"/>
          <c:w val="0.52207293666026866"/>
          <c:h val="0.75875486381322954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Динамика показателей выручки</c:v>
                </c:pt>
              </c:strCache>
            </c:strRef>
          </c:tx>
          <c:spPr>
            <a:ln w="13343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Sheet1!$B$1:$D$1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25056</c:v>
                </c:pt>
                <c:pt idx="1">
                  <c:v>12475</c:v>
                </c:pt>
                <c:pt idx="2">
                  <c:v>115419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507040"/>
        <c:axId val="565510176"/>
      </c:lineChart>
      <c:catAx>
        <c:axId val="56550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5510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5510176"/>
        <c:scaling>
          <c:orientation val="minMax"/>
        </c:scaling>
        <c:delete val="0"/>
        <c:axPos val="l"/>
        <c:majorGridlines>
          <c:spPr>
            <a:ln w="33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5507040"/>
        <c:crosses val="autoZero"/>
        <c:crossBetween val="between"/>
      </c:valAx>
      <c:spPr>
        <a:solidFill>
          <a:srgbClr val="C0C0C0"/>
        </a:solidFill>
        <a:ln w="133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602687140115158"/>
          <c:y val="0.38910505836575876"/>
          <c:w val="0.32629558541266795"/>
          <c:h val="0.14785992217898833"/>
        </c:manualLayout>
      </c:layout>
      <c:overlay val="0"/>
      <c:spPr>
        <a:noFill/>
        <a:ln w="3336">
          <a:solidFill>
            <a:srgbClr val="000000"/>
          </a:solidFill>
          <a:prstDash val="solid"/>
        </a:ln>
      </c:spPr>
      <c:txPr>
        <a:bodyPr/>
        <a:lstStyle/>
        <a:p>
          <a:pPr>
            <a:defRPr sz="9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8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12648221343872"/>
          <c:y val="7.2607260726072612E-2"/>
          <c:w val="0.53557312252964429"/>
          <c:h val="0.79537953795379535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Прибыль до налогообложения</c:v>
                </c:pt>
              </c:strCache>
            </c:strRef>
          </c:tx>
          <c:spPr>
            <a:ln w="13344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Sheet1!$B$1:$D$1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2724000</c:v>
                </c:pt>
                <c:pt idx="1">
                  <c:v>5107000</c:v>
                </c:pt>
                <c:pt idx="2">
                  <c:v>8961000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506256"/>
        <c:axId val="565504296"/>
      </c:lineChart>
      <c:catAx>
        <c:axId val="56550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5504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5504296"/>
        <c:scaling>
          <c:orientation val="minMax"/>
        </c:scaling>
        <c:delete val="0"/>
        <c:axPos val="l"/>
        <c:majorGridlines>
          <c:spPr>
            <a:ln w="33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5506256"/>
        <c:crosses val="autoZero"/>
        <c:crossBetween val="between"/>
      </c:valAx>
      <c:spPr>
        <a:solidFill>
          <a:srgbClr val="C0C0C0"/>
        </a:solidFill>
        <a:ln w="1334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146245059288538"/>
          <c:y val="0.40594059405940597"/>
          <c:w val="0.28063241106719367"/>
          <c:h val="0.1254125412541254"/>
        </c:manualLayout>
      </c:layout>
      <c:overlay val="0"/>
      <c:spPr>
        <a:noFill/>
        <a:ln w="3336">
          <a:solidFill>
            <a:srgbClr val="000000"/>
          </a:solidFill>
          <a:prstDash val="solid"/>
        </a:ln>
      </c:spPr>
      <c:txPr>
        <a:bodyPr/>
        <a:lstStyle/>
        <a:p>
          <a:pPr>
            <a:defRPr sz="96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6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1118881118881"/>
          <c:y val="6.3953488372093026E-2"/>
          <c:w val="0.50174825174825177"/>
          <c:h val="0.8197674418604651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Динамика чистой прибыли</c:v>
                </c:pt>
              </c:strCache>
            </c:strRef>
          </c:tx>
          <c:spPr>
            <a:ln w="13343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Sheet1!$B$1:$D$1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2315000</c:v>
                </c:pt>
                <c:pt idx="1">
                  <c:v>5107000</c:v>
                </c:pt>
                <c:pt idx="2">
                  <c:v>10451000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508216"/>
        <c:axId val="565505864"/>
      </c:lineChart>
      <c:catAx>
        <c:axId val="565508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5505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5505864"/>
        <c:scaling>
          <c:orientation val="minMax"/>
        </c:scaling>
        <c:delete val="0"/>
        <c:axPos val="l"/>
        <c:majorGridlines>
          <c:spPr>
            <a:ln w="33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5508216"/>
        <c:crosses val="autoZero"/>
        <c:crossBetween val="between"/>
      </c:valAx>
      <c:spPr>
        <a:solidFill>
          <a:srgbClr val="C0C0C0"/>
        </a:solidFill>
        <a:ln w="133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734265734265729"/>
          <c:y val="0.43895348837209303"/>
          <c:w val="0.33566433566433568"/>
          <c:h val="6.3953488372093026E-2"/>
        </c:manualLayout>
      </c:layout>
      <c:overlay val="0"/>
      <c:spPr>
        <a:noFill/>
        <a:ln w="3336">
          <a:solidFill>
            <a:srgbClr val="000000"/>
          </a:solidFill>
          <a:prstDash val="solid"/>
        </a:ln>
      </c:spPr>
      <c:txPr>
        <a:bodyPr/>
        <a:lstStyle/>
        <a:p>
          <a:pPr>
            <a:defRPr sz="96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459677419354839E-2"/>
          <c:y val="6.6066066066066062E-2"/>
          <c:w val="0.63911290322580649"/>
          <c:h val="0.8138138138138137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Рентабельность продаж</c:v>
                </c:pt>
              </c:strCache>
            </c:strRef>
          </c:tx>
          <c:spPr>
            <a:ln w="13343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Sheet1!$B$1:$D$1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9.1999999999999993</c:v>
                </c:pt>
                <c:pt idx="1">
                  <c:v>40.9</c:v>
                </c:pt>
                <c:pt idx="2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642088"/>
        <c:axId val="564642872"/>
      </c:lineChart>
      <c:catAx>
        <c:axId val="564642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4642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4642872"/>
        <c:scaling>
          <c:orientation val="minMax"/>
        </c:scaling>
        <c:delete val="0"/>
        <c:axPos val="l"/>
        <c:majorGridlines>
          <c:spPr>
            <a:ln w="13343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4642088"/>
        <c:crosses val="autoZero"/>
        <c:crossBetween val="between"/>
      </c:valAx>
      <c:spPr>
        <a:solidFill>
          <a:srgbClr val="C0C0C0"/>
        </a:solidFill>
        <a:ln w="13343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38709677419355"/>
          <c:y val="0.4144144144144144"/>
          <c:w val="0.25806451612903225"/>
          <c:h val="0.11411411411411411"/>
        </c:manualLayout>
      </c:layout>
      <c:overlay val="0"/>
      <c:spPr>
        <a:noFill/>
        <a:ln w="3336">
          <a:solidFill>
            <a:srgbClr val="000000"/>
          </a:solidFill>
          <a:prstDash val="solid"/>
        </a:ln>
      </c:spPr>
      <c:txPr>
        <a:bodyPr/>
        <a:lstStyle/>
        <a:p>
          <a:pPr>
            <a:defRPr sz="96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5719360568383664E-2"/>
          <c:y val="6.9182389937106917E-2"/>
          <c:w val="0.78507992895204259"/>
          <c:h val="0.805031446540880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Контакт+</c:v>
                </c:pt>
              </c:strCache>
            </c:strRef>
          </c:tx>
          <c:spPr>
            <a:solidFill>
              <a:srgbClr val="9999FF"/>
            </a:solidFill>
            <a:ln w="1334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9.1999999999999993</c:v>
                </c:pt>
                <c:pt idx="1">
                  <c:v>40.9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КДС</c:v>
                </c:pt>
              </c:strCache>
            </c:strRef>
          </c:tx>
          <c:spPr>
            <a:solidFill>
              <a:srgbClr val="993366"/>
            </a:solidFill>
            <a:ln w="1334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5.5</c:v>
                </c:pt>
                <c:pt idx="1">
                  <c:v>5.3</c:v>
                </c:pt>
                <c:pt idx="2">
                  <c:v>5.5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Квадрат</c:v>
                </c:pt>
              </c:strCache>
            </c:strRef>
          </c:tx>
          <c:spPr>
            <a:solidFill>
              <a:srgbClr val="FFFFCC"/>
            </a:solidFill>
            <a:ln w="1334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6.2</c:v>
                </c:pt>
                <c:pt idx="1">
                  <c:v>4.8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643264"/>
        <c:axId val="564644048"/>
      </c:barChart>
      <c:catAx>
        <c:axId val="56464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4644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4644048"/>
        <c:scaling>
          <c:orientation val="minMax"/>
        </c:scaling>
        <c:delete val="0"/>
        <c:axPos val="l"/>
        <c:majorGridlines>
          <c:spPr>
            <a:ln w="33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4643264"/>
        <c:crosses val="autoZero"/>
        <c:crossBetween val="between"/>
      </c:valAx>
      <c:spPr>
        <a:solidFill>
          <a:srgbClr val="C0C0C0"/>
        </a:solidFill>
        <a:ln w="133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856127886323264"/>
          <c:y val="0.36792452830188677"/>
          <c:w val="0.12433392539964476"/>
          <c:h val="0.20125786163522014"/>
        </c:manualLayout>
      </c:layout>
      <c:overlay val="0"/>
      <c:spPr>
        <a:noFill/>
        <a:ln w="3336">
          <a:solidFill>
            <a:srgbClr val="000000"/>
          </a:solidFill>
          <a:prstDash val="solid"/>
        </a:ln>
      </c:spPr>
      <c:txPr>
        <a:bodyPr/>
        <a:lstStyle/>
        <a:p>
          <a:pPr>
            <a:defRPr sz="96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5526-87B0-498B-A6B0-A9A02AF8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43</Pages>
  <Words>7795</Words>
  <Characters>44436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dcterms:created xsi:type="dcterms:W3CDTF">2019-05-02T16:11:00Z</dcterms:created>
  <dcterms:modified xsi:type="dcterms:W3CDTF">2019-06-02T13:19:00Z</dcterms:modified>
</cp:coreProperties>
</file>