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34778A7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«Эксплуатация наземных транспортно-технологических систем»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7D8F54E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Влияние режима работы и условий эксплуатации на безотказность и долговечность двигателей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3FE9B133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Влияние режима работы и эксплуатационных факторов на безотказность и долговечность работы трансмиссий, ходовой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14:paraId="202B6F93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топлива, их характеристики и влияние на работоспособность двигателей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62B12357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организации технического обслуживания и ремонта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271316C8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эксплуатации машин и механизмов в весеннее-летний и осеннее-зимний период и в условиях жаркого климата.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1FC033D4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диагностирования машин и механизмов. Передвижные средства ТО и ремонта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14:paraId="5B823B52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Методы и средства диагностирования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1CDF68CF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 и защита окружающей среды при эксплуатации машин. Мероприятия по предупреждению загрязнения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14:paraId="0F25F9D6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Моторные и трансмиссионные масла, классификация и индексация масел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xmlns:wp14="http://schemas.microsoft.com/office/word/2010/wordml" w14:paraId="02EEB6CD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Рабочие жидкости для машин с гидравлическим приводом, жидкости для амортизаторов, гидроусилителей, охлаждающие жидкости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14:paraId="7506624B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Комплекс эксплуатационных свойств и их взаимосвязь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14:paraId="52BA5F03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«Роль и место технического диагностирования в системе технического обслуживания и ремонта транспортных средств». </w:t>
      </w:r>
    </w:p>
    <w:p xmlns:wp14="http://schemas.microsoft.com/office/word/2010/wordml" w14:paraId="40AAC82F" wp14:textId="77777777">
      <w:pPr>
        <w:pStyle w:val="Normal"/>
        <w:autoSpaceDE w:val="false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 «Роль и место диагностических параметров при оценке технического состояния транспортных средств». </w:t>
      </w:r>
    </w:p>
    <w:p xmlns:wp14="http://schemas.microsoft.com/office/word/2010/wordml" w14:paraId="0A37501D" wp14:textId="77777777"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 xmlns:wp14="http://schemas.microsoft.com/office/word/2010/wordml" w14:paraId="5DAB6C7B" wp14:textId="7777777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4DEF3C3" wp14:textId="77777777">
      <w:pPr>
        <w:pStyle w:val="Normal"/>
        <w:ind w:firstLine="709"/>
        <w:jc w:val="center"/>
        <w:rPr/>
      </w:pPr>
      <w:r w:rsidRPr="0D3E4928" w:rsidR="0D3E4928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  <w:t>Требования к работе</w:t>
      </w:r>
      <w:r w:rsidRPr="0D3E4928" w:rsidR="0D3E4928">
        <w:rPr>
          <w:rFonts w:ascii="Times New Roman" w:hAnsi="Times New Roman" w:cs="Times New Roman"/>
          <w:i w:val="1"/>
          <w:iCs w:val="1"/>
          <w:sz w:val="28"/>
          <w:szCs w:val="28"/>
          <w:u w:val="single"/>
        </w:rPr>
        <w:t>:</w:t>
      </w:r>
    </w:p>
    <w:p w:rsidR="0D3E4928" w:rsidP="0D3E4928" w:rsidRDefault="0D3E4928" w14:paraId="5AC85513" w14:textId="2884D46C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Контрольная работа содержит:</w:t>
      </w:r>
    </w:p>
    <w:p w:rsidR="0D3E4928" w:rsidP="0D3E4928" w:rsidRDefault="0D3E4928" w14:paraId="5B3B3FE9" w14:textId="3BFE0FE4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1.Введение</w:t>
      </w:r>
    </w:p>
    <w:p w:rsidR="0D3E4928" w:rsidP="0D3E4928" w:rsidRDefault="0D3E4928" w14:paraId="098F67BE" w14:textId="194F48A0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2. Содержание</w:t>
      </w:r>
    </w:p>
    <w:p w:rsidR="0D3E4928" w:rsidP="0D3E4928" w:rsidRDefault="0D3E4928" w14:paraId="79A931F4" w14:textId="383D17C3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3.Основную часть</w:t>
      </w:r>
    </w:p>
    <w:p w:rsidR="0D3E4928" w:rsidP="0D3E4928" w:rsidRDefault="0D3E4928" w14:paraId="7E654717" w14:textId="68BE38A4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4.Заключение</w:t>
      </w:r>
    </w:p>
    <w:p w:rsidR="0D3E4928" w:rsidP="0D3E4928" w:rsidRDefault="0D3E4928" w14:paraId="1B6A0343" w14:textId="368728D6">
      <w:pPr>
        <w:ind w:firstLine="709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5. Список литературы.</w:t>
      </w:r>
    </w:p>
    <w:p w:rsidR="0D3E4928" w:rsidP="0D3E4928" w:rsidRDefault="0D3E4928" w14:paraId="7F89F1E0" w14:textId="306CBFBB">
      <w:pPr>
        <w:ind w:firstLine="425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</w:p>
    <w:p w:rsidR="0D3E4928" w:rsidP="0D3E4928" w:rsidRDefault="0D3E4928" w14:paraId="00D4953C" w14:textId="3C79A86F">
      <w:pPr>
        <w:ind w:firstLine="425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  <w:t>Объем контрольной работы не более 25 страниц</w:t>
      </w:r>
    </w:p>
    <w:p w:rsidR="0D3E4928" w:rsidP="0D3E4928" w:rsidRDefault="0D3E4928" w14:paraId="41F3344C" w14:textId="56CBE88E">
      <w:pPr>
        <w:ind w:firstLine="425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</w:p>
    <w:p w:rsidR="0D3E4928" w:rsidP="0D3E4928" w:rsidRDefault="0D3E4928" w14:paraId="788DCA1A" w14:textId="294A4BFC">
      <w:pPr>
        <w:ind w:firstLine="425"/>
        <w:jc w:val="both"/>
        <w:rPr>
          <w:rFonts w:ascii="Times New Roman" w:hAnsi="Times New Roman" w:eastAsia="Times New Roman" w:cs="Times New Roman"/>
          <w:noProof w:val="0"/>
          <w:sz w:val="44"/>
          <w:szCs w:val="44"/>
          <w:lang w:val="ru-RU"/>
        </w:rPr>
      </w:pPr>
    </w:p>
    <w:p w:rsidR="0D3E4928" w:rsidP="0D3E4928" w:rsidRDefault="0D3E4928" w14:paraId="233C0BF9" w14:textId="5D088FD8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1.</w:t>
      </w: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Текст</w:t>
      </w: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-  </w:t>
      </w: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шрифт</w:t>
      </w: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14 Times New Roman</w:t>
      </w:r>
    </w:p>
    <w:p w:rsidR="0D3E4928" w:rsidP="0D3E4928" w:rsidRDefault="0D3E4928" w14:paraId="46600A7D" w14:textId="07585CF1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2.</w:t>
      </w: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Отступы</w:t>
      </w: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</w:t>
      </w:r>
    </w:p>
    <w:p w:rsidR="0D3E4928" w:rsidP="0D3E4928" w:rsidRDefault="0D3E4928" w14:paraId="337E9F95" w14:textId="25332C7F">
      <w:pPr>
        <w:pStyle w:val="ListParagraph"/>
        <w:numPr>
          <w:ilvl w:val="0"/>
          <w:numId w:val="1"/>
        </w:numPr>
        <w:jc w:val="left"/>
        <w:rPr>
          <w:noProof w:val="0"/>
          <w:color w:val="auto"/>
          <w:sz w:val="28"/>
          <w:szCs w:val="28"/>
          <w:lang w:val="ru-RU"/>
        </w:rPr>
      </w:pP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левый- 3</w:t>
      </w:r>
    </w:p>
    <w:p w:rsidR="0D3E4928" w:rsidP="0D3E4928" w:rsidRDefault="0D3E4928" w14:paraId="4F9115FA" w14:textId="750938EF">
      <w:pPr>
        <w:pStyle w:val="ListParagraph"/>
        <w:numPr>
          <w:ilvl w:val="0"/>
          <w:numId w:val="1"/>
        </w:numPr>
        <w:jc w:val="left"/>
        <w:rPr>
          <w:noProof w:val="0"/>
          <w:color w:val="auto"/>
          <w:sz w:val="28"/>
          <w:szCs w:val="28"/>
          <w:lang w:val="ru-RU"/>
        </w:rPr>
      </w:pP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правый -10</w:t>
      </w:r>
    </w:p>
    <w:p w:rsidR="0D3E4928" w:rsidP="0D3E4928" w:rsidRDefault="0D3E4928" w14:paraId="75A8B833" w14:textId="48A5CD5D">
      <w:pPr>
        <w:pStyle w:val="ListParagraph"/>
        <w:numPr>
          <w:ilvl w:val="0"/>
          <w:numId w:val="1"/>
        </w:numPr>
        <w:jc w:val="left"/>
        <w:rPr>
          <w:noProof w:val="0"/>
          <w:color w:val="auto"/>
          <w:sz w:val="28"/>
          <w:szCs w:val="28"/>
          <w:lang w:val="ru-RU"/>
        </w:rPr>
      </w:pP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верхний -2</w:t>
      </w:r>
    </w:p>
    <w:p w:rsidR="0D3E4928" w:rsidP="0D3E4928" w:rsidRDefault="0D3E4928" w14:paraId="258767B6" w14:textId="6EE82349">
      <w:pPr>
        <w:pStyle w:val="ListParagraph"/>
        <w:numPr>
          <w:ilvl w:val="0"/>
          <w:numId w:val="1"/>
        </w:numPr>
        <w:jc w:val="left"/>
        <w:rPr>
          <w:noProof w:val="0"/>
          <w:color w:val="auto"/>
          <w:sz w:val="28"/>
          <w:szCs w:val="28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D3E4928" w:rsidR="0D3E4928">
        <w:rPr>
          <w:rFonts w:ascii="Calibri" w:hAnsi="Calibri" w:eastAsia="Calibri" w:cs="Calibri"/>
          <w:noProof w:val="0"/>
          <w:sz w:val="28"/>
          <w:szCs w:val="28"/>
          <w:lang w:val="ru-RU"/>
        </w:rPr>
        <w:t>нижний -2</w:t>
      </w:r>
    </w:p>
    <w:p w:rsidR="0D3E4928" w:rsidP="0D3E4928" w:rsidRDefault="0D3E4928" w14:paraId="6BDE5F04" w14:textId="7AE444C5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3E4928" w:rsidP="0D3E4928" w:rsidRDefault="0D3E4928" w14:paraId="0A0F3901" w14:textId="0909D554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3.Межстрочечный интервал -1,5</w:t>
      </w:r>
    </w:p>
    <w:p w:rsidR="0D3E4928" w:rsidP="0D3E4928" w:rsidRDefault="0D3E4928" w14:paraId="2C59BEC8" w14:textId="3FCE6F63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3E4928" w:rsidP="0D3E4928" w:rsidRDefault="0D3E4928" w14:paraId="30EC3FDE" w14:textId="76A9752B">
      <w:pPr>
        <w:ind w:firstLine="425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3E4928" w:rsidR="0D3E492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4.Нумерация страниц обязательна.</w:t>
      </w:r>
    </w:p>
    <w:p w:rsidR="0D3E4928" w:rsidP="0D3E4928" w:rsidRDefault="0D3E4928" w14:paraId="0C011C11" w14:textId="5F47B10E"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P="0D3E4928" w14:paraId="6A05A809" wp14:textId="6FDE2956"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type w:val="nextPage"/>
      <w:pgSz w:w="11906" w:h="16838" w:orient="portrait"/>
      <w:pgMar w:top="851" w:right="850" w:bottom="28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77D02C66"/>
  <w15:docId w15:val="{47543287-ff63-4bba-bda8-64e68cad25d6}"/>
  <w:rsids>
    <w:rsidRoot w:val="0D3E4928"/>
    <w:rsid w:val="0D3E492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160" w:line="25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numbering" Target="/word/numbering.xml" Id="R7fe4533aff31409e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2019-05-19T18:31:00.0000000Z</dcterms:created>
  <dc:creator>Admin</dc:creator>
  <dc:description/>
  <keywords/>
  <dc:language>en-US</dc:language>
  <lastModifiedBy>apteryx95</lastModifiedBy>
  <dcterms:modified xsi:type="dcterms:W3CDTF">2019-05-31T11:44:38.5753671Z</dcterms:modified>
  <revision>3</revision>
  <dc:subject/>
  <dc:title/>
</coreProperties>
</file>