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DA" w:rsidRPr="00C562DA" w:rsidRDefault="00C562DA" w:rsidP="00C562DA">
      <w:pPr>
        <w:rPr>
          <w:rFonts w:ascii="Times New Roman" w:hAnsi="Times New Roman" w:cs="Times New Roman"/>
          <w:sz w:val="28"/>
          <w:szCs w:val="28"/>
        </w:rPr>
      </w:pPr>
      <w:r w:rsidRPr="00C562DA">
        <w:rPr>
          <w:rFonts w:ascii="Times New Roman" w:hAnsi="Times New Roman" w:cs="Times New Roman"/>
          <w:sz w:val="28"/>
          <w:szCs w:val="28"/>
        </w:rPr>
        <w:t>1. Модели прогнозирования банкротства и их использование на практике;</w:t>
      </w:r>
    </w:p>
    <w:p w:rsidR="00C562DA" w:rsidRPr="00C562DA" w:rsidRDefault="00C562DA" w:rsidP="00C562DA">
      <w:pPr>
        <w:rPr>
          <w:rFonts w:ascii="Times New Roman" w:hAnsi="Times New Roman" w:cs="Times New Roman"/>
          <w:sz w:val="28"/>
          <w:szCs w:val="28"/>
        </w:rPr>
      </w:pPr>
      <w:r w:rsidRPr="00C562DA">
        <w:rPr>
          <w:rFonts w:ascii="Times New Roman" w:hAnsi="Times New Roman" w:cs="Times New Roman"/>
          <w:sz w:val="28"/>
          <w:szCs w:val="28"/>
        </w:rPr>
        <w:t>2. Анализ финансового состояния предприятия: показатели финансовой устойчивости;</w:t>
      </w:r>
    </w:p>
    <w:p w:rsidR="00C562DA" w:rsidRPr="00C562DA" w:rsidRDefault="00C562DA" w:rsidP="00C562DA">
      <w:pPr>
        <w:rPr>
          <w:rFonts w:ascii="Times New Roman" w:hAnsi="Times New Roman" w:cs="Times New Roman"/>
          <w:sz w:val="28"/>
          <w:szCs w:val="28"/>
        </w:rPr>
      </w:pPr>
      <w:r w:rsidRPr="00C562DA">
        <w:rPr>
          <w:rFonts w:ascii="Times New Roman" w:hAnsi="Times New Roman" w:cs="Times New Roman"/>
          <w:sz w:val="28"/>
          <w:szCs w:val="28"/>
        </w:rPr>
        <w:t>3. Инвестиционные решения предприятия: критерии оценки эффективности инвестиционных проектов;</w:t>
      </w:r>
    </w:p>
    <w:p w:rsidR="00C562DA" w:rsidRPr="00C562DA" w:rsidRDefault="00C562DA" w:rsidP="00C562DA">
      <w:pPr>
        <w:rPr>
          <w:rFonts w:ascii="Times New Roman" w:hAnsi="Times New Roman" w:cs="Times New Roman"/>
          <w:sz w:val="28"/>
          <w:szCs w:val="28"/>
        </w:rPr>
      </w:pPr>
      <w:r w:rsidRPr="00C562DA">
        <w:rPr>
          <w:rFonts w:ascii="Times New Roman" w:hAnsi="Times New Roman" w:cs="Times New Roman"/>
          <w:sz w:val="28"/>
          <w:szCs w:val="28"/>
        </w:rPr>
        <w:t>4. Эффект финансового рычага. Влияние финансового рычага на доходность акционеров;</w:t>
      </w:r>
    </w:p>
    <w:p w:rsidR="00C562DA" w:rsidRPr="00C562DA" w:rsidRDefault="00C562DA" w:rsidP="00C562DA">
      <w:pPr>
        <w:rPr>
          <w:rFonts w:ascii="Times New Roman" w:hAnsi="Times New Roman" w:cs="Times New Roman"/>
          <w:sz w:val="28"/>
          <w:szCs w:val="28"/>
        </w:rPr>
      </w:pPr>
      <w:r w:rsidRPr="00C562DA">
        <w:rPr>
          <w:rFonts w:ascii="Times New Roman" w:hAnsi="Times New Roman" w:cs="Times New Roman"/>
          <w:sz w:val="28"/>
          <w:szCs w:val="28"/>
        </w:rPr>
        <w:t>5. Управление дебиторской и кредиторской задолженностью;</w:t>
      </w:r>
    </w:p>
    <w:p w:rsidR="00C562DA" w:rsidRPr="00C562DA" w:rsidRDefault="00C562DA" w:rsidP="00C562DA">
      <w:pPr>
        <w:rPr>
          <w:rFonts w:ascii="Times New Roman" w:hAnsi="Times New Roman" w:cs="Times New Roman"/>
          <w:sz w:val="28"/>
          <w:szCs w:val="28"/>
        </w:rPr>
      </w:pPr>
      <w:r w:rsidRPr="00C562DA">
        <w:rPr>
          <w:rFonts w:ascii="Times New Roman" w:hAnsi="Times New Roman" w:cs="Times New Roman"/>
          <w:sz w:val="28"/>
          <w:szCs w:val="28"/>
        </w:rPr>
        <w:t>6. Управлением финансовым обеспечения предпринимательства;</w:t>
      </w:r>
    </w:p>
    <w:p w:rsidR="00C562DA" w:rsidRPr="00C562DA" w:rsidRDefault="00C562DA" w:rsidP="00C562DA">
      <w:pPr>
        <w:rPr>
          <w:rFonts w:ascii="Times New Roman" w:hAnsi="Times New Roman" w:cs="Times New Roman"/>
          <w:sz w:val="28"/>
          <w:szCs w:val="28"/>
        </w:rPr>
      </w:pPr>
      <w:r w:rsidRPr="00C562DA">
        <w:rPr>
          <w:rFonts w:ascii="Times New Roman" w:hAnsi="Times New Roman" w:cs="Times New Roman"/>
          <w:sz w:val="28"/>
          <w:szCs w:val="28"/>
        </w:rPr>
        <w:t>7. Классиф</w:t>
      </w:r>
      <w:bookmarkStart w:id="0" w:name="_GoBack"/>
      <w:bookmarkEnd w:id="0"/>
      <w:r w:rsidRPr="00C562DA">
        <w:rPr>
          <w:rFonts w:ascii="Times New Roman" w:hAnsi="Times New Roman" w:cs="Times New Roman"/>
          <w:sz w:val="28"/>
          <w:szCs w:val="28"/>
        </w:rPr>
        <w:t>икация, определение цены и доходность акций;</w:t>
      </w:r>
    </w:p>
    <w:p w:rsidR="00C562DA" w:rsidRPr="00C562DA" w:rsidRDefault="00C562DA" w:rsidP="00C562DA">
      <w:pPr>
        <w:rPr>
          <w:rFonts w:ascii="Times New Roman" w:hAnsi="Times New Roman" w:cs="Times New Roman"/>
          <w:sz w:val="28"/>
          <w:szCs w:val="28"/>
        </w:rPr>
      </w:pPr>
      <w:r w:rsidRPr="00C562DA">
        <w:rPr>
          <w:rFonts w:ascii="Times New Roman" w:hAnsi="Times New Roman" w:cs="Times New Roman"/>
          <w:sz w:val="28"/>
          <w:szCs w:val="28"/>
        </w:rPr>
        <w:t>8. Дивидендная политика и ее применение на практике;</w:t>
      </w:r>
    </w:p>
    <w:p w:rsidR="00C562DA" w:rsidRPr="00C562DA" w:rsidRDefault="00C562DA" w:rsidP="00C562DA">
      <w:pPr>
        <w:rPr>
          <w:rFonts w:ascii="Times New Roman" w:hAnsi="Times New Roman" w:cs="Times New Roman"/>
          <w:sz w:val="28"/>
          <w:szCs w:val="28"/>
        </w:rPr>
      </w:pPr>
      <w:r w:rsidRPr="00C562DA">
        <w:rPr>
          <w:rFonts w:ascii="Times New Roman" w:hAnsi="Times New Roman" w:cs="Times New Roman"/>
          <w:sz w:val="28"/>
          <w:szCs w:val="28"/>
        </w:rPr>
        <w:t>9. Долгосрочный заемный капитал;</w:t>
      </w:r>
    </w:p>
    <w:p w:rsidR="00C562DA" w:rsidRPr="00C562DA" w:rsidRDefault="00C562DA" w:rsidP="00C562DA">
      <w:pPr>
        <w:rPr>
          <w:rFonts w:ascii="Times New Roman" w:hAnsi="Times New Roman" w:cs="Times New Roman"/>
          <w:sz w:val="28"/>
          <w:szCs w:val="28"/>
        </w:rPr>
      </w:pPr>
      <w:r w:rsidRPr="00C562DA">
        <w:rPr>
          <w:rFonts w:ascii="Times New Roman" w:hAnsi="Times New Roman" w:cs="Times New Roman"/>
          <w:sz w:val="28"/>
          <w:szCs w:val="28"/>
        </w:rPr>
        <w:t>10. Измерение и анализ риска портфеля;</w:t>
      </w:r>
    </w:p>
    <w:p w:rsidR="00C562DA" w:rsidRPr="00C562DA" w:rsidRDefault="00C562DA" w:rsidP="00C562DA">
      <w:pPr>
        <w:rPr>
          <w:rFonts w:ascii="Times New Roman" w:hAnsi="Times New Roman" w:cs="Times New Roman"/>
          <w:sz w:val="28"/>
          <w:szCs w:val="28"/>
        </w:rPr>
      </w:pPr>
      <w:r w:rsidRPr="00C562DA">
        <w:rPr>
          <w:rFonts w:ascii="Times New Roman" w:hAnsi="Times New Roman" w:cs="Times New Roman"/>
          <w:sz w:val="28"/>
          <w:szCs w:val="28"/>
        </w:rPr>
        <w:t>11. Оценка облигаций (классификация, зависимость цена/доходность, кривая доходности);</w:t>
      </w:r>
    </w:p>
    <w:p w:rsidR="00C562DA" w:rsidRPr="00C562DA" w:rsidRDefault="00C562DA" w:rsidP="00C562DA">
      <w:pPr>
        <w:rPr>
          <w:rFonts w:ascii="Times New Roman" w:hAnsi="Times New Roman" w:cs="Times New Roman"/>
          <w:sz w:val="28"/>
          <w:szCs w:val="28"/>
        </w:rPr>
      </w:pPr>
      <w:r w:rsidRPr="00C562DA">
        <w:rPr>
          <w:rFonts w:ascii="Times New Roman" w:hAnsi="Times New Roman" w:cs="Times New Roman"/>
          <w:sz w:val="28"/>
          <w:szCs w:val="28"/>
        </w:rPr>
        <w:t>12. Управление товарно-материальными запасами на предприятии;</w:t>
      </w:r>
    </w:p>
    <w:p w:rsidR="00C562DA" w:rsidRPr="00C562DA" w:rsidRDefault="00C562DA" w:rsidP="00C562DA">
      <w:pPr>
        <w:rPr>
          <w:rFonts w:ascii="Times New Roman" w:hAnsi="Times New Roman" w:cs="Times New Roman"/>
          <w:sz w:val="28"/>
          <w:szCs w:val="28"/>
        </w:rPr>
      </w:pPr>
      <w:r w:rsidRPr="00C562DA">
        <w:rPr>
          <w:rFonts w:ascii="Times New Roman" w:hAnsi="Times New Roman" w:cs="Times New Roman"/>
          <w:sz w:val="28"/>
          <w:szCs w:val="28"/>
        </w:rPr>
        <w:t>13. Управление наличными денежными средствами на предприятии;</w:t>
      </w:r>
    </w:p>
    <w:p w:rsidR="00C562DA" w:rsidRPr="00C562DA" w:rsidRDefault="00C562DA" w:rsidP="00C562DA">
      <w:pPr>
        <w:rPr>
          <w:rFonts w:ascii="Times New Roman" w:hAnsi="Times New Roman" w:cs="Times New Roman"/>
          <w:sz w:val="28"/>
          <w:szCs w:val="28"/>
        </w:rPr>
      </w:pPr>
      <w:r w:rsidRPr="00C562DA">
        <w:rPr>
          <w:rFonts w:ascii="Times New Roman" w:hAnsi="Times New Roman" w:cs="Times New Roman"/>
          <w:sz w:val="28"/>
          <w:szCs w:val="28"/>
        </w:rPr>
        <w:t>14. Доходность финансовых активов и ее измерение;</w:t>
      </w:r>
    </w:p>
    <w:p w:rsidR="00C562DA" w:rsidRPr="00C562DA" w:rsidRDefault="00C562DA" w:rsidP="00C562DA">
      <w:pPr>
        <w:rPr>
          <w:rFonts w:ascii="Times New Roman" w:hAnsi="Times New Roman" w:cs="Times New Roman"/>
          <w:sz w:val="28"/>
          <w:szCs w:val="28"/>
        </w:rPr>
      </w:pPr>
      <w:r w:rsidRPr="00C562DA">
        <w:rPr>
          <w:rFonts w:ascii="Times New Roman" w:hAnsi="Times New Roman" w:cs="Times New Roman"/>
          <w:sz w:val="28"/>
          <w:szCs w:val="28"/>
        </w:rPr>
        <w:t>15. Информационное обеспечение финансового менеджмента;</w:t>
      </w:r>
    </w:p>
    <w:p w:rsidR="00C562DA" w:rsidRPr="00C562DA" w:rsidRDefault="00C562DA" w:rsidP="00C562DA">
      <w:pPr>
        <w:rPr>
          <w:rFonts w:ascii="Times New Roman" w:hAnsi="Times New Roman" w:cs="Times New Roman"/>
          <w:sz w:val="28"/>
          <w:szCs w:val="28"/>
        </w:rPr>
      </w:pPr>
      <w:r w:rsidRPr="00C562DA">
        <w:rPr>
          <w:rFonts w:ascii="Times New Roman" w:hAnsi="Times New Roman" w:cs="Times New Roman"/>
          <w:sz w:val="28"/>
          <w:szCs w:val="28"/>
        </w:rPr>
        <w:t>16. Методы оценки финансовых рисков;</w:t>
      </w:r>
    </w:p>
    <w:p w:rsidR="00F134FB" w:rsidRPr="00C562DA" w:rsidRDefault="00C562DA" w:rsidP="00C562DA">
      <w:pPr>
        <w:rPr>
          <w:rFonts w:ascii="Times New Roman" w:hAnsi="Times New Roman" w:cs="Times New Roman"/>
          <w:sz w:val="28"/>
          <w:szCs w:val="28"/>
        </w:rPr>
      </w:pPr>
      <w:r w:rsidRPr="00C562DA">
        <w:rPr>
          <w:rFonts w:ascii="Times New Roman" w:hAnsi="Times New Roman" w:cs="Times New Roman"/>
          <w:sz w:val="28"/>
          <w:szCs w:val="28"/>
        </w:rPr>
        <w:t>17. Политика формирования финансовой структуры капитала.</w:t>
      </w:r>
    </w:p>
    <w:sectPr w:rsidR="00F134FB" w:rsidRPr="00C5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98"/>
    <w:rsid w:val="003F3098"/>
    <w:rsid w:val="00C562DA"/>
    <w:rsid w:val="00F1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2019-05-27T11:01:00Z</dcterms:created>
  <dcterms:modified xsi:type="dcterms:W3CDTF">2019-05-27T11:01:00Z</dcterms:modified>
</cp:coreProperties>
</file>